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beforeAutospacing="0" w:after="0" w:afterAutospacing="0" w:line="520" w:lineRule="exact"/>
        <w:jc w:val="both"/>
        <w:rPr>
          <w:b/>
          <w:bCs/>
          <w:sz w:val="28"/>
          <w:szCs w:val="28"/>
          <w:highlight w:val="none"/>
        </w:rPr>
      </w:pPr>
      <w:bookmarkStart w:id="7" w:name="_GoBack"/>
      <w:r>
        <w:rPr>
          <w:rFonts w:hint="eastAsia"/>
          <w:b/>
          <w:bCs/>
          <w:sz w:val="28"/>
          <w:szCs w:val="28"/>
          <w:highlight w:val="none"/>
        </w:rPr>
        <w:t>附件3：评价办法</w:t>
      </w:r>
    </w:p>
    <w:bookmarkEnd w:id="7"/>
    <w:p>
      <w:pPr>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综合评价中选法</w:t>
      </w:r>
    </w:p>
    <w:p>
      <w:pPr>
        <w:pStyle w:val="10"/>
        <w:spacing w:before="0" w:beforeAutospacing="0" w:after="0" w:afterAutospacing="0" w:line="520" w:lineRule="exact"/>
        <w:ind w:firstLine="640"/>
        <w:jc w:val="both"/>
        <w:rPr>
          <w:sz w:val="28"/>
          <w:szCs w:val="28"/>
          <w:highlight w:val="none"/>
        </w:rPr>
      </w:pPr>
      <w:r>
        <w:rPr>
          <w:rFonts w:hint="eastAsia"/>
          <w:sz w:val="28"/>
          <w:szCs w:val="28"/>
          <w:highlight w:val="none"/>
        </w:rPr>
        <w:t>本比选项目采用综合评价中选法。</w:t>
      </w:r>
    </w:p>
    <w:p>
      <w:pPr>
        <w:pStyle w:val="10"/>
        <w:spacing w:before="0" w:beforeAutospacing="0" w:after="0" w:afterAutospacing="0" w:line="520" w:lineRule="exact"/>
        <w:ind w:firstLine="640"/>
        <w:jc w:val="both"/>
        <w:rPr>
          <w:sz w:val="28"/>
          <w:szCs w:val="28"/>
          <w:highlight w:val="none"/>
        </w:rPr>
      </w:pPr>
      <w:r>
        <w:rPr>
          <w:rFonts w:hint="eastAsia"/>
          <w:sz w:val="28"/>
          <w:szCs w:val="28"/>
          <w:highlight w:val="none"/>
        </w:rPr>
        <w:t>若资格条件、报价符合要求的比选申请人仅有1家时，直接确定其为候选单位。若资格条件、报价符合要求的比选申请人数量超过1家时，将符合要求的比选申请人按照本评价办法中规定的各项因素进行综合评价，并根据比选申请人的综合得分由高到低排序，综合得分最高的为第一中选候选人，以此类推选择第二、第三中选候选人。当出现二个或二个以上比选申请人的综合得分相同时，由比选人依次按照</w:t>
      </w:r>
      <w:r>
        <w:rPr>
          <w:rFonts w:hint="eastAsia"/>
          <w:sz w:val="28"/>
          <w:szCs w:val="28"/>
          <w:highlight w:val="none"/>
          <w:u w:val="single"/>
        </w:rPr>
        <w:t>比选报价由低到高、技术部分得分由高到低</w:t>
      </w:r>
      <w:r>
        <w:rPr>
          <w:rFonts w:hint="eastAsia"/>
          <w:sz w:val="28"/>
          <w:szCs w:val="28"/>
          <w:highlight w:val="none"/>
        </w:rPr>
        <w:t>进行排序，若上述二项均相同时，由比选人随机抽取。以比选申请人提交比选申请书的签到号作为代表号（代表号不再另行抽取）进行随机抽取，先抽取出来的球号排序在前。</w:t>
      </w:r>
    </w:p>
    <w:p>
      <w:pPr>
        <w:pStyle w:val="10"/>
        <w:spacing w:before="0" w:beforeAutospacing="0" w:after="0" w:afterAutospacing="0" w:line="520" w:lineRule="exact"/>
        <w:ind w:firstLine="640"/>
        <w:jc w:val="both"/>
        <w:rPr>
          <w:b/>
          <w:bCs/>
          <w:sz w:val="28"/>
          <w:szCs w:val="28"/>
          <w:highlight w:val="none"/>
        </w:rPr>
      </w:pPr>
      <w:r>
        <w:rPr>
          <w:rFonts w:hint="eastAsia"/>
          <w:b/>
          <w:bCs/>
          <w:sz w:val="28"/>
          <w:szCs w:val="28"/>
          <w:highlight w:val="none"/>
        </w:rPr>
        <w:t>各项因素分值如下：</w:t>
      </w:r>
    </w:p>
    <w:p>
      <w:pPr>
        <w:pStyle w:val="10"/>
        <w:spacing w:before="0" w:beforeAutospacing="0" w:after="0" w:afterAutospacing="0" w:line="520" w:lineRule="exact"/>
        <w:ind w:firstLine="640"/>
        <w:jc w:val="both"/>
        <w:rPr>
          <w:b/>
          <w:bCs/>
          <w:sz w:val="28"/>
          <w:szCs w:val="28"/>
          <w:highlight w:val="none"/>
        </w:rPr>
      </w:pPr>
      <w:r>
        <w:rPr>
          <w:rFonts w:hint="eastAsia"/>
          <w:b/>
          <w:bCs/>
          <w:sz w:val="28"/>
          <w:szCs w:val="28"/>
          <w:highlight w:val="none"/>
        </w:rPr>
        <w:t>A：价格部分得分   满分30分</w:t>
      </w:r>
    </w:p>
    <w:p>
      <w:pPr>
        <w:pStyle w:val="10"/>
        <w:spacing w:before="0" w:beforeAutospacing="0" w:after="0" w:afterAutospacing="0" w:line="520" w:lineRule="exact"/>
        <w:ind w:firstLine="640"/>
        <w:jc w:val="both"/>
        <w:rPr>
          <w:b/>
          <w:bCs/>
          <w:sz w:val="28"/>
          <w:szCs w:val="28"/>
          <w:highlight w:val="none"/>
        </w:rPr>
      </w:pPr>
      <w:r>
        <w:rPr>
          <w:rFonts w:hint="eastAsia"/>
          <w:b/>
          <w:bCs/>
          <w:sz w:val="28"/>
          <w:szCs w:val="28"/>
          <w:highlight w:val="none"/>
        </w:rPr>
        <w:t>B：商务技术部分得分   满分70分</w:t>
      </w:r>
    </w:p>
    <w:p>
      <w:pPr>
        <w:widowControl/>
        <w:spacing w:line="520" w:lineRule="exact"/>
        <w:ind w:firstLine="480"/>
        <w:jc w:val="left"/>
        <w:rPr>
          <w:rFonts w:ascii="宋体" w:hAnsi="宋体" w:cs="宋体"/>
          <w:kern w:val="1"/>
          <w:sz w:val="28"/>
          <w:szCs w:val="28"/>
          <w:highlight w:val="none"/>
        </w:rPr>
      </w:pPr>
    </w:p>
    <w:p>
      <w:pPr>
        <w:pStyle w:val="11"/>
        <w:jc w:val="both"/>
        <w:outlineLvl w:val="9"/>
        <w:rPr>
          <w:rFonts w:ascii="宋体" w:hAnsi="宋体" w:cs="宋体"/>
          <w:bCs w:val="0"/>
          <w:sz w:val="28"/>
          <w:szCs w:val="28"/>
          <w:highlight w:val="none"/>
        </w:rPr>
      </w:pPr>
      <w:r>
        <w:rPr>
          <w:rFonts w:hint="eastAsia" w:ascii="宋体" w:hAnsi="宋体" w:cs="宋体"/>
          <w:bCs w:val="0"/>
          <w:sz w:val="28"/>
          <w:szCs w:val="28"/>
          <w:highlight w:val="none"/>
        </w:rPr>
        <w:t>第一部分  价格部分评估标准</w:t>
      </w:r>
      <w:r>
        <w:rPr>
          <w:rFonts w:hint="eastAsia" w:ascii="宋体" w:hAnsi="宋体" w:cs="宋体"/>
          <w:bCs w:val="0"/>
          <w:sz w:val="28"/>
          <w:szCs w:val="28"/>
          <w:highlight w:val="none"/>
        </w:rPr>
        <w:tab/>
      </w:r>
      <w:r>
        <w:rPr>
          <w:rFonts w:hint="eastAsia" w:ascii="宋体" w:hAnsi="宋体" w:cs="宋体"/>
          <w:bCs w:val="0"/>
          <w:sz w:val="28"/>
          <w:szCs w:val="28"/>
          <w:highlight w:val="none"/>
        </w:rPr>
        <w:t>（满分30分）</w:t>
      </w:r>
    </w:p>
    <w:tbl>
      <w:tblPr>
        <w:tblStyle w:val="12"/>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ign w:val="center"/>
          </w:tcPr>
          <w:p>
            <w:pPr>
              <w:pStyle w:val="11"/>
              <w:spacing w:before="0" w:after="0" w:line="440" w:lineRule="exact"/>
              <w:outlineLvl w:val="9"/>
              <w:rPr>
                <w:rFonts w:ascii="宋体" w:hAnsi="宋体" w:eastAsia="宋体" w:cs="宋体"/>
                <w:bCs w:val="0"/>
                <w:sz w:val="28"/>
                <w:szCs w:val="28"/>
                <w:highlight w:val="none"/>
              </w:rPr>
            </w:pPr>
            <w:bookmarkStart w:id="0" w:name="_Toc9384"/>
            <w:r>
              <w:rPr>
                <w:rFonts w:hint="eastAsia" w:ascii="宋体" w:hAnsi="宋体" w:eastAsia="宋体" w:cs="宋体"/>
                <w:bCs w:val="0"/>
                <w:sz w:val="28"/>
                <w:szCs w:val="28"/>
                <w:highlight w:val="none"/>
              </w:rPr>
              <w:t>序号</w:t>
            </w:r>
            <w:bookmarkEnd w:id="0"/>
          </w:p>
        </w:tc>
        <w:tc>
          <w:tcPr>
            <w:tcW w:w="1381" w:type="dxa"/>
            <w:noWrap/>
            <w:vAlign w:val="center"/>
          </w:tcPr>
          <w:p>
            <w:pPr>
              <w:pStyle w:val="11"/>
              <w:spacing w:before="0" w:after="0" w:line="440" w:lineRule="exact"/>
              <w:outlineLvl w:val="9"/>
              <w:rPr>
                <w:rFonts w:ascii="宋体" w:hAnsi="宋体" w:eastAsia="宋体" w:cs="宋体"/>
                <w:bCs w:val="0"/>
                <w:sz w:val="28"/>
                <w:szCs w:val="28"/>
                <w:highlight w:val="none"/>
              </w:rPr>
            </w:pPr>
            <w:bookmarkStart w:id="1" w:name="_Toc14026"/>
            <w:r>
              <w:rPr>
                <w:rFonts w:hint="eastAsia" w:ascii="宋体" w:hAnsi="宋体" w:eastAsia="宋体" w:cs="宋体"/>
                <w:sz w:val="28"/>
                <w:szCs w:val="28"/>
                <w:highlight w:val="none"/>
              </w:rPr>
              <w:t>评估</w:t>
            </w:r>
            <w:r>
              <w:rPr>
                <w:rFonts w:hint="eastAsia" w:ascii="宋体" w:hAnsi="宋体" w:eastAsia="宋体" w:cs="宋体"/>
                <w:bCs w:val="0"/>
                <w:sz w:val="28"/>
                <w:szCs w:val="28"/>
                <w:highlight w:val="none"/>
              </w:rPr>
              <w:t>项目</w:t>
            </w:r>
            <w:bookmarkEnd w:id="1"/>
          </w:p>
        </w:tc>
        <w:tc>
          <w:tcPr>
            <w:tcW w:w="1374" w:type="dxa"/>
            <w:noWrap/>
            <w:vAlign w:val="center"/>
          </w:tcPr>
          <w:p>
            <w:pPr>
              <w:pStyle w:val="11"/>
              <w:spacing w:before="0" w:after="0" w:line="440" w:lineRule="exact"/>
              <w:outlineLvl w:val="9"/>
              <w:rPr>
                <w:rFonts w:ascii="宋体" w:hAnsi="宋体" w:eastAsia="宋体" w:cs="宋体"/>
                <w:bCs w:val="0"/>
                <w:sz w:val="28"/>
                <w:szCs w:val="28"/>
                <w:highlight w:val="none"/>
              </w:rPr>
            </w:pPr>
            <w:bookmarkStart w:id="2" w:name="_Toc29875"/>
            <w:r>
              <w:rPr>
                <w:rFonts w:hint="eastAsia" w:ascii="宋体" w:hAnsi="宋体" w:eastAsia="宋体" w:cs="宋体"/>
                <w:sz w:val="28"/>
                <w:szCs w:val="28"/>
                <w:highlight w:val="none"/>
              </w:rPr>
              <w:t>评估</w:t>
            </w:r>
            <w:r>
              <w:rPr>
                <w:rFonts w:hint="eastAsia" w:ascii="宋体" w:hAnsi="宋体" w:eastAsia="宋体" w:cs="宋体"/>
                <w:bCs w:val="0"/>
                <w:sz w:val="28"/>
                <w:szCs w:val="28"/>
                <w:highlight w:val="none"/>
              </w:rPr>
              <w:t>分值</w:t>
            </w:r>
            <w:bookmarkEnd w:id="2"/>
          </w:p>
        </w:tc>
        <w:tc>
          <w:tcPr>
            <w:tcW w:w="6285" w:type="dxa"/>
            <w:noWrap/>
            <w:vAlign w:val="center"/>
          </w:tcPr>
          <w:p>
            <w:pPr>
              <w:pStyle w:val="11"/>
              <w:spacing w:before="0" w:after="0" w:line="440" w:lineRule="exact"/>
              <w:outlineLvl w:val="9"/>
              <w:rPr>
                <w:rFonts w:ascii="宋体" w:hAnsi="宋体" w:eastAsia="宋体" w:cs="宋体"/>
                <w:bCs w:val="0"/>
                <w:sz w:val="28"/>
                <w:szCs w:val="28"/>
                <w:highlight w:val="none"/>
              </w:rPr>
            </w:pPr>
            <w:bookmarkStart w:id="3" w:name="_Toc26366"/>
            <w:r>
              <w:rPr>
                <w:rFonts w:hint="eastAsia" w:ascii="宋体" w:hAnsi="宋体" w:eastAsia="宋体" w:cs="宋体"/>
                <w:sz w:val="28"/>
                <w:szCs w:val="28"/>
                <w:highlight w:val="none"/>
              </w:rPr>
              <w:t>评估</w:t>
            </w:r>
            <w:r>
              <w:rPr>
                <w:rFonts w:hint="eastAsia" w:ascii="宋体" w:hAnsi="宋体" w:eastAsia="宋体" w:cs="宋体"/>
                <w:bCs w:val="0"/>
                <w:sz w:val="28"/>
                <w:szCs w:val="28"/>
                <w:highlight w:val="none"/>
              </w:rPr>
              <w:t>标准</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ign w:val="center"/>
          </w:tcPr>
          <w:p>
            <w:pPr>
              <w:pStyle w:val="11"/>
              <w:spacing w:before="0" w:after="0" w:line="440" w:lineRule="exact"/>
              <w:ind w:firstLine="280" w:firstLineChars="100"/>
              <w:jc w:val="both"/>
              <w:outlineLvl w:val="9"/>
              <w:rPr>
                <w:rFonts w:ascii="宋体" w:hAnsi="宋体" w:eastAsia="宋体" w:cs="宋体"/>
                <w:b w:val="0"/>
                <w:bCs w:val="0"/>
                <w:sz w:val="28"/>
                <w:szCs w:val="28"/>
                <w:highlight w:val="none"/>
              </w:rPr>
            </w:pPr>
            <w:bookmarkStart w:id="4" w:name="_Toc12598"/>
            <w:r>
              <w:rPr>
                <w:rFonts w:hint="eastAsia" w:ascii="宋体" w:hAnsi="宋体" w:eastAsia="宋体" w:cs="宋体"/>
                <w:b w:val="0"/>
                <w:bCs w:val="0"/>
                <w:sz w:val="28"/>
                <w:szCs w:val="28"/>
                <w:highlight w:val="none"/>
              </w:rPr>
              <w:t>1</w:t>
            </w:r>
            <w:bookmarkEnd w:id="4"/>
          </w:p>
        </w:tc>
        <w:tc>
          <w:tcPr>
            <w:tcW w:w="1381" w:type="dxa"/>
            <w:noWrap/>
            <w:vAlign w:val="center"/>
          </w:tcPr>
          <w:p>
            <w:pPr>
              <w:pStyle w:val="11"/>
              <w:spacing w:before="0" w:after="0" w:line="440" w:lineRule="exact"/>
              <w:outlineLvl w:val="9"/>
              <w:rPr>
                <w:rFonts w:ascii="宋体" w:hAnsi="宋体" w:eastAsia="宋体" w:cs="宋体"/>
                <w:b w:val="0"/>
                <w:bCs w:val="0"/>
                <w:sz w:val="28"/>
                <w:szCs w:val="28"/>
                <w:highlight w:val="none"/>
              </w:rPr>
            </w:pPr>
            <w:bookmarkStart w:id="5" w:name="_Toc16308"/>
            <w:r>
              <w:rPr>
                <w:rFonts w:hint="eastAsia" w:ascii="宋体" w:hAnsi="宋体" w:eastAsia="宋体" w:cs="宋体"/>
                <w:b w:val="0"/>
                <w:bCs w:val="0"/>
                <w:sz w:val="28"/>
                <w:szCs w:val="28"/>
                <w:highlight w:val="none"/>
              </w:rPr>
              <w:t>报价得分</w:t>
            </w:r>
            <w:bookmarkEnd w:id="5"/>
          </w:p>
        </w:tc>
        <w:tc>
          <w:tcPr>
            <w:tcW w:w="1374" w:type="dxa"/>
            <w:noWrap/>
            <w:vAlign w:val="center"/>
          </w:tcPr>
          <w:p>
            <w:pPr>
              <w:pStyle w:val="11"/>
              <w:spacing w:before="0" w:after="0" w:line="440" w:lineRule="exact"/>
              <w:outlineLvl w:val="9"/>
              <w:rPr>
                <w:rFonts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30分</w:t>
            </w:r>
          </w:p>
        </w:tc>
        <w:tc>
          <w:tcPr>
            <w:tcW w:w="6285" w:type="dxa"/>
            <w:noWrap/>
            <w:vAlign w:val="center"/>
          </w:tcPr>
          <w:p>
            <w:pPr>
              <w:pStyle w:val="14"/>
              <w:numPr>
                <w:ilvl w:val="0"/>
                <w:numId w:val="1"/>
              </w:numPr>
              <w:spacing w:before="0" w:after="0" w:line="44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评估基准价=所有有效报价人在最高限价6%—10%（含6%，含10%）范围内报价的算术平均值；报价在最高限价6%—10%（含6%，含10%）范围外的，不参与评标基准价计算。</w:t>
            </w:r>
          </w:p>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line="440" w:lineRule="exact"/>
              <w:ind w:firstLine="600" w:firstLineChars="200"/>
              <w:textAlignment w:val="auto"/>
              <w:rPr>
                <w:rFonts w:ascii="宋体" w:hAnsi="宋体" w:eastAsia="宋体" w:cs="宋体"/>
                <w:sz w:val="28"/>
                <w:szCs w:val="28"/>
                <w:highlight w:val="none"/>
              </w:rPr>
            </w:pPr>
            <w:r>
              <w:rPr>
                <w:rFonts w:hint="eastAsia" w:ascii="宋体" w:hAnsi="宋体" w:eastAsia="宋体" w:cs="宋体"/>
                <w:sz w:val="28"/>
                <w:szCs w:val="28"/>
                <w:highlight w:val="none"/>
              </w:rPr>
              <w:t>若所有报价均在最高限价6%—10%（含6%，含10%）范围外，则评估基准价按最高限价的8%计算。</w:t>
            </w:r>
          </w:p>
          <w:p>
            <w:pPr>
              <w:pStyle w:val="14"/>
              <w:spacing w:before="0" w:after="0" w:line="440" w:lineRule="exact"/>
              <w:ind w:firstLine="600" w:firstLineChars="200"/>
              <w:rPr>
                <w:rFonts w:ascii="宋体" w:hAnsi="宋体" w:eastAsia="宋体" w:cs="宋体"/>
                <w:sz w:val="28"/>
                <w:szCs w:val="28"/>
                <w:highlight w:val="none"/>
              </w:rPr>
            </w:pPr>
            <w:r>
              <w:rPr>
                <w:rFonts w:hint="eastAsia" w:ascii="宋体" w:hAnsi="宋体" w:eastAsia="宋体" w:cs="宋体"/>
                <w:sz w:val="28"/>
                <w:szCs w:val="28"/>
                <w:highlight w:val="none"/>
              </w:rPr>
              <w:t xml:space="preserve">评估基准价取整数（以“元”为单位，小数点后第一位四舍五入,第二位及以后不计）。 </w:t>
            </w:r>
          </w:p>
          <w:p>
            <w:pPr>
              <w:pStyle w:val="14"/>
              <w:spacing w:before="0" w:after="0" w:line="440" w:lineRule="exact"/>
              <w:rPr>
                <w:rFonts w:ascii="宋体" w:hAnsi="宋体" w:eastAsia="宋体" w:cs="宋体"/>
                <w:sz w:val="28"/>
                <w:szCs w:val="28"/>
                <w:highlight w:val="none"/>
              </w:rPr>
            </w:pPr>
            <w:r>
              <w:rPr>
                <w:rFonts w:hint="eastAsia" w:ascii="宋体" w:hAnsi="宋体" w:eastAsia="宋体" w:cs="宋体"/>
                <w:sz w:val="28"/>
                <w:szCs w:val="28"/>
                <w:highlight w:val="none"/>
              </w:rPr>
              <w:t>（2）报价得分计算式：</w:t>
            </w:r>
          </w:p>
          <w:p>
            <w:pPr>
              <w:pStyle w:val="14"/>
              <w:spacing w:before="0" w:after="0" w:line="440" w:lineRule="exact"/>
              <w:ind w:firstLine="600" w:firstLineChars="200"/>
              <w:rPr>
                <w:rFonts w:ascii="宋体" w:hAnsi="宋体" w:eastAsia="宋体" w:cs="宋体"/>
                <w:sz w:val="28"/>
                <w:szCs w:val="28"/>
                <w:highlight w:val="none"/>
              </w:rPr>
            </w:pPr>
            <w:r>
              <w:rPr>
                <w:rFonts w:hint="eastAsia" w:ascii="宋体" w:hAnsi="宋体" w:eastAsia="宋体" w:cs="宋体"/>
                <w:sz w:val="28"/>
                <w:szCs w:val="28"/>
                <w:highlight w:val="none"/>
              </w:rPr>
              <w:t>报价得分=报价分值满分-（|Ai-评估基准价|÷评估基准价）×100×Q</w:t>
            </w:r>
          </w:p>
          <w:p>
            <w:pPr>
              <w:pStyle w:val="14"/>
              <w:spacing w:before="0" w:after="0" w:line="440" w:lineRule="exact"/>
              <w:ind w:firstLine="600" w:firstLineChars="200"/>
              <w:rPr>
                <w:rFonts w:ascii="宋体" w:hAnsi="宋体" w:eastAsia="宋体" w:cs="宋体"/>
                <w:sz w:val="28"/>
                <w:szCs w:val="28"/>
                <w:highlight w:val="none"/>
              </w:rPr>
            </w:pPr>
            <w:r>
              <w:rPr>
                <w:rFonts w:hint="eastAsia" w:ascii="宋体" w:hAnsi="宋体" w:eastAsia="宋体" w:cs="宋体"/>
                <w:sz w:val="28"/>
                <w:szCs w:val="28"/>
                <w:highlight w:val="none"/>
              </w:rPr>
              <w:t>其中，Ai 为各比选申请人的报价；Q为报价每偏离本评估基准价1%的取值：</w:t>
            </w:r>
          </w:p>
          <w:p>
            <w:pPr>
              <w:pStyle w:val="14"/>
              <w:spacing w:before="0" w:after="0" w:line="440" w:lineRule="exact"/>
              <w:ind w:firstLine="600" w:firstLineChars="200"/>
              <w:rPr>
                <w:rFonts w:ascii="宋体" w:hAnsi="宋体" w:eastAsia="宋体" w:cs="宋体"/>
                <w:sz w:val="28"/>
                <w:szCs w:val="28"/>
                <w:highlight w:val="none"/>
              </w:rPr>
            </w:pPr>
            <w:r>
              <w:rPr>
                <w:rFonts w:hint="eastAsia" w:ascii="宋体" w:hAnsi="宋体" w:eastAsia="宋体" w:cs="宋体"/>
                <w:sz w:val="28"/>
                <w:szCs w:val="28"/>
                <w:highlight w:val="none"/>
              </w:rPr>
              <w:t>当合格比选申请人的报价≤评估基准价时，Q的取值为</w:t>
            </w:r>
            <w:r>
              <w:rPr>
                <w:rFonts w:hint="eastAsia" w:ascii="宋体" w:hAnsi="宋体" w:eastAsia="宋体" w:cs="宋体"/>
                <w:sz w:val="28"/>
                <w:szCs w:val="28"/>
                <w:highlight w:val="none"/>
                <w:u w:val="single"/>
              </w:rPr>
              <w:t xml:space="preserve"> 2 </w:t>
            </w:r>
            <w:r>
              <w:rPr>
                <w:rFonts w:hint="eastAsia" w:ascii="宋体" w:hAnsi="宋体" w:eastAsia="宋体" w:cs="宋体"/>
                <w:sz w:val="28"/>
                <w:szCs w:val="28"/>
                <w:highlight w:val="none"/>
              </w:rPr>
              <w:t>；</w:t>
            </w:r>
          </w:p>
          <w:p>
            <w:pPr>
              <w:pStyle w:val="14"/>
              <w:spacing w:before="0" w:after="0" w:line="440" w:lineRule="exact"/>
              <w:ind w:firstLine="60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当合格比选申请人的报价&gt;评估基准价时，Q的取值为</w:t>
            </w:r>
            <w:r>
              <w:rPr>
                <w:rFonts w:hint="eastAsia" w:ascii="宋体" w:hAnsi="宋体" w:eastAsia="宋体" w:cs="宋体"/>
                <w:sz w:val="28"/>
                <w:szCs w:val="28"/>
                <w:highlight w:val="none"/>
                <w:u w:val="single"/>
              </w:rPr>
              <w:t xml:space="preserve"> 4 </w:t>
            </w:r>
            <w:r>
              <w:rPr>
                <w:rFonts w:hint="eastAsia" w:ascii="宋体" w:hAnsi="宋体" w:eastAsia="宋体" w:cs="宋体"/>
                <w:sz w:val="28"/>
                <w:szCs w:val="28"/>
                <w:highlight w:val="none"/>
              </w:rPr>
              <w:t>。</w:t>
            </w:r>
          </w:p>
          <w:p>
            <w:pPr>
              <w:pStyle w:val="14"/>
              <w:spacing w:before="0" w:after="0" w:line="440" w:lineRule="exact"/>
              <w:ind w:firstLine="60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比选报价得分小数点后保留两位，第三位“四舍五入”，第四位及以后不计。</w:t>
            </w:r>
          </w:p>
          <w:p>
            <w:pPr>
              <w:pStyle w:val="14"/>
              <w:spacing w:before="0" w:after="0" w:line="440" w:lineRule="exact"/>
              <w:ind w:firstLine="600" w:firstLineChars="200"/>
              <w:rPr>
                <w:rFonts w:hint="default" w:eastAsia="宋体"/>
                <w:highlight w:val="none"/>
                <w:lang w:val="en-US" w:eastAsia="zh-CN"/>
              </w:rPr>
            </w:pPr>
            <w:r>
              <w:rPr>
                <w:rFonts w:hint="eastAsia" w:ascii="宋体" w:hAnsi="宋体" w:eastAsia="宋体" w:cs="宋体"/>
                <w:sz w:val="28"/>
                <w:szCs w:val="28"/>
                <w:highlight w:val="none"/>
                <w:lang w:eastAsia="zh-CN"/>
              </w:rPr>
              <w:t>若经计算，报价分为负数的，按</w:t>
            </w:r>
            <w:r>
              <w:rPr>
                <w:rFonts w:hint="eastAsia" w:ascii="宋体" w:hAnsi="宋体" w:eastAsia="宋体" w:cs="宋体"/>
                <w:sz w:val="28"/>
                <w:szCs w:val="28"/>
                <w:highlight w:val="none"/>
                <w:lang w:val="en-US" w:eastAsia="zh-CN"/>
              </w:rPr>
              <w:t>0分计取。</w:t>
            </w:r>
          </w:p>
        </w:tc>
      </w:tr>
    </w:tbl>
    <w:p>
      <w:pPr>
        <w:rPr>
          <w:highlight w:val="none"/>
        </w:rPr>
      </w:pPr>
    </w:p>
    <w:p>
      <w:pPr>
        <w:pStyle w:val="11"/>
        <w:jc w:val="both"/>
        <w:outlineLvl w:val="9"/>
        <w:rPr>
          <w:rFonts w:ascii="宋体" w:hAnsi="宋体" w:cs="宋体"/>
          <w:bCs w:val="0"/>
          <w:sz w:val="28"/>
          <w:szCs w:val="28"/>
          <w:highlight w:val="none"/>
        </w:rPr>
      </w:pPr>
      <w:bookmarkStart w:id="6" w:name="_Toc17988"/>
      <w:r>
        <w:rPr>
          <w:rFonts w:hint="eastAsia" w:ascii="宋体" w:hAnsi="宋体" w:cs="宋体"/>
          <w:bCs w:val="0"/>
          <w:sz w:val="28"/>
          <w:szCs w:val="28"/>
          <w:highlight w:val="none"/>
        </w:rPr>
        <w:t>第二部分  技术部分</w:t>
      </w:r>
      <w:r>
        <w:rPr>
          <w:rFonts w:hint="eastAsia" w:ascii="宋体" w:hAnsi="宋体" w:cs="宋体"/>
          <w:sz w:val="28"/>
          <w:szCs w:val="36"/>
          <w:highlight w:val="none"/>
        </w:rPr>
        <w:t>评估标准</w:t>
      </w:r>
      <w:r>
        <w:rPr>
          <w:rFonts w:hint="eastAsia" w:ascii="宋体" w:hAnsi="宋体" w:cs="宋体"/>
          <w:bCs w:val="0"/>
          <w:sz w:val="28"/>
          <w:szCs w:val="28"/>
          <w:highlight w:val="none"/>
        </w:rPr>
        <w:t>（满分70分）</w:t>
      </w:r>
      <w:bookmarkEnd w:id="6"/>
    </w:p>
    <w:tbl>
      <w:tblPr>
        <w:tblStyle w:val="12"/>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ign w:val="center"/>
          </w:tcPr>
          <w:p>
            <w:pPr>
              <w:pStyle w:val="4"/>
              <w:snapToGrid w:val="0"/>
              <w:spacing w:line="440" w:lineRule="exact"/>
              <w:ind w:firstLine="0"/>
              <w:jc w:val="center"/>
              <w:rPr>
                <w:rFonts w:ascii="宋体" w:hAnsi="宋体" w:eastAsia="宋体" w:cs="宋体"/>
                <w:b/>
                <w:sz w:val="28"/>
                <w:szCs w:val="28"/>
                <w:highlight w:val="none"/>
              </w:rPr>
            </w:pPr>
            <w:r>
              <w:rPr>
                <w:rFonts w:hint="eastAsia" w:ascii="宋体" w:hAnsi="宋体" w:eastAsia="宋体" w:cs="宋体"/>
                <w:b/>
                <w:sz w:val="28"/>
                <w:szCs w:val="28"/>
                <w:highlight w:val="none"/>
              </w:rPr>
              <w:t>序号</w:t>
            </w:r>
          </w:p>
        </w:tc>
        <w:tc>
          <w:tcPr>
            <w:tcW w:w="1357" w:type="dxa"/>
            <w:noWrap/>
            <w:vAlign w:val="center"/>
          </w:tcPr>
          <w:p>
            <w:pPr>
              <w:pStyle w:val="4"/>
              <w:snapToGrid w:val="0"/>
              <w:spacing w:line="440" w:lineRule="exact"/>
              <w:ind w:firstLine="0"/>
              <w:jc w:val="center"/>
              <w:rPr>
                <w:rFonts w:ascii="宋体" w:hAnsi="宋体" w:eastAsia="宋体" w:cs="宋体"/>
                <w:b/>
                <w:sz w:val="28"/>
                <w:szCs w:val="28"/>
                <w:highlight w:val="none"/>
              </w:rPr>
            </w:pPr>
            <w:r>
              <w:rPr>
                <w:rFonts w:hint="eastAsia" w:ascii="宋体" w:hAnsi="宋体" w:eastAsia="宋体" w:cs="宋体"/>
                <w:b/>
                <w:sz w:val="28"/>
                <w:szCs w:val="28"/>
                <w:highlight w:val="none"/>
              </w:rPr>
              <w:t>评估项目</w:t>
            </w:r>
          </w:p>
        </w:tc>
        <w:tc>
          <w:tcPr>
            <w:tcW w:w="1389" w:type="dxa"/>
            <w:noWrap/>
            <w:vAlign w:val="center"/>
          </w:tcPr>
          <w:p>
            <w:pPr>
              <w:pStyle w:val="4"/>
              <w:snapToGrid w:val="0"/>
              <w:spacing w:line="440" w:lineRule="exact"/>
              <w:ind w:firstLine="0"/>
              <w:jc w:val="center"/>
              <w:rPr>
                <w:rFonts w:ascii="宋体" w:hAnsi="宋体" w:eastAsia="宋体" w:cs="宋体"/>
                <w:b/>
                <w:sz w:val="28"/>
                <w:szCs w:val="28"/>
                <w:highlight w:val="none"/>
              </w:rPr>
            </w:pPr>
            <w:r>
              <w:rPr>
                <w:rFonts w:hint="eastAsia" w:ascii="宋体" w:hAnsi="宋体" w:eastAsia="宋体" w:cs="宋体"/>
                <w:b/>
                <w:sz w:val="28"/>
                <w:szCs w:val="28"/>
                <w:highlight w:val="none"/>
              </w:rPr>
              <w:t>评估分值</w:t>
            </w:r>
          </w:p>
        </w:tc>
        <w:tc>
          <w:tcPr>
            <w:tcW w:w="6272" w:type="dxa"/>
            <w:noWrap/>
            <w:vAlign w:val="center"/>
          </w:tcPr>
          <w:p>
            <w:pPr>
              <w:pStyle w:val="4"/>
              <w:snapToGrid w:val="0"/>
              <w:spacing w:line="440" w:lineRule="exact"/>
              <w:ind w:firstLine="0"/>
              <w:jc w:val="center"/>
              <w:rPr>
                <w:rFonts w:ascii="宋体" w:hAnsi="宋体" w:eastAsia="宋体" w:cs="宋体"/>
                <w:b/>
                <w:sz w:val="28"/>
                <w:szCs w:val="28"/>
                <w:highlight w:val="none"/>
              </w:rPr>
            </w:pPr>
            <w:r>
              <w:rPr>
                <w:rFonts w:hint="eastAsia" w:ascii="宋体" w:hAnsi="宋体" w:eastAsia="宋体" w:cs="宋体"/>
                <w:b/>
                <w:sz w:val="28"/>
                <w:szCs w:val="28"/>
                <w:highlight w:val="none"/>
              </w:rPr>
              <w:t>评估标准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ign w:val="center"/>
          </w:tcPr>
          <w:p>
            <w:pPr>
              <w:pStyle w:val="4"/>
              <w:snapToGrid w:val="0"/>
              <w:spacing w:line="440" w:lineRule="exact"/>
              <w:ind w:firstLine="0"/>
              <w:jc w:val="center"/>
              <w:rPr>
                <w:rFonts w:ascii="宋体" w:hAnsi="宋体" w:eastAsia="宋体" w:cs="宋体"/>
                <w:sz w:val="28"/>
                <w:szCs w:val="28"/>
                <w:highlight w:val="none"/>
              </w:rPr>
            </w:pPr>
            <w:r>
              <w:rPr>
                <w:rFonts w:hint="eastAsia" w:ascii="宋体" w:hAnsi="宋体" w:eastAsia="宋体" w:cs="宋体"/>
                <w:sz w:val="28"/>
                <w:szCs w:val="28"/>
                <w:highlight w:val="none"/>
              </w:rPr>
              <w:t>1</w:t>
            </w:r>
          </w:p>
        </w:tc>
        <w:tc>
          <w:tcPr>
            <w:tcW w:w="1357" w:type="dxa"/>
            <w:noWrap/>
            <w:vAlign w:val="center"/>
          </w:tcPr>
          <w:p>
            <w:pPr>
              <w:spacing w:line="440" w:lineRule="exact"/>
              <w:jc w:val="center"/>
              <w:rPr>
                <w:rFonts w:ascii="宋体" w:hAnsi="宋体" w:eastAsia="宋体" w:cs="宋体"/>
                <w:kern w:val="1"/>
                <w:sz w:val="28"/>
                <w:szCs w:val="28"/>
                <w:highlight w:val="none"/>
              </w:rPr>
            </w:pPr>
            <w:r>
              <w:rPr>
                <w:rFonts w:hint="eastAsia" w:ascii="宋体" w:hAnsi="宋体" w:eastAsia="宋体" w:cs="宋体"/>
                <w:kern w:val="1"/>
                <w:sz w:val="28"/>
                <w:szCs w:val="28"/>
                <w:highlight w:val="none"/>
              </w:rPr>
              <w:t>企业业绩情况</w:t>
            </w:r>
            <w:r>
              <w:rPr>
                <w:rFonts w:hint="eastAsia" w:ascii="宋体" w:hAnsi="宋体" w:eastAsia="宋体" w:cs="宋体"/>
                <w:sz w:val="28"/>
                <w:szCs w:val="28"/>
                <w:highlight w:val="none"/>
              </w:rPr>
              <w:t>得分</w:t>
            </w:r>
          </w:p>
        </w:tc>
        <w:tc>
          <w:tcPr>
            <w:tcW w:w="1389" w:type="dxa"/>
            <w:noWrap/>
            <w:vAlign w:val="center"/>
          </w:tcPr>
          <w:p>
            <w:pPr>
              <w:spacing w:line="440" w:lineRule="exact"/>
              <w:jc w:val="center"/>
              <w:rPr>
                <w:rFonts w:ascii="宋体" w:hAnsi="宋体" w:eastAsia="宋体" w:cs="宋体"/>
                <w:kern w:val="1"/>
                <w:sz w:val="28"/>
                <w:szCs w:val="28"/>
                <w:highlight w:val="none"/>
              </w:rPr>
            </w:pPr>
            <w:r>
              <w:rPr>
                <w:rFonts w:hint="eastAsia" w:ascii="宋体" w:hAnsi="宋体" w:eastAsia="宋体" w:cs="宋体"/>
                <w:kern w:val="1"/>
                <w:sz w:val="28"/>
                <w:szCs w:val="28"/>
                <w:highlight w:val="none"/>
              </w:rPr>
              <w:t>25分</w:t>
            </w:r>
          </w:p>
        </w:tc>
        <w:tc>
          <w:tcPr>
            <w:tcW w:w="6272" w:type="dxa"/>
            <w:noWrap/>
            <w:vAlign w:val="center"/>
          </w:tcPr>
          <w:p>
            <w:pPr>
              <w:pStyle w:val="14"/>
              <w:spacing w:before="0" w:after="0" w:line="440" w:lineRule="exact"/>
              <w:rPr>
                <w:rFonts w:ascii="宋体" w:hAnsi="宋体" w:eastAsia="宋体" w:cs="宋体"/>
                <w:bCs w:val="0"/>
                <w:sz w:val="28"/>
                <w:szCs w:val="28"/>
                <w:highlight w:val="none"/>
              </w:rPr>
            </w:pPr>
            <w:r>
              <w:rPr>
                <w:rFonts w:hint="eastAsia" w:ascii="宋体" w:hAnsi="宋体" w:eastAsia="宋体" w:cs="宋体"/>
                <w:bCs w:val="0"/>
                <w:sz w:val="28"/>
                <w:szCs w:val="28"/>
                <w:highlight w:val="none"/>
              </w:rPr>
              <w:t>A.</w:t>
            </w:r>
            <w:r>
              <w:rPr>
                <w:rFonts w:hint="eastAsia" w:ascii="宋体" w:hAnsi="宋体" w:eastAsia="宋体" w:cs="宋体"/>
                <w:kern w:val="1"/>
                <w:sz w:val="28"/>
                <w:szCs w:val="28"/>
                <w:highlight w:val="none"/>
              </w:rPr>
              <w:t>比选</w:t>
            </w:r>
            <w:r>
              <w:rPr>
                <w:rFonts w:hint="eastAsia" w:ascii="宋体" w:hAnsi="宋体" w:eastAsia="宋体" w:cs="宋体"/>
                <w:bCs w:val="0"/>
                <w:sz w:val="28"/>
                <w:szCs w:val="28"/>
                <w:highlight w:val="none"/>
              </w:rPr>
              <w:t>申请人企业业绩满足资格条件的，得15分；每增加一项自本比选公告之日的前一年内（含公告发布之日）户数不少于500户的清运证明的，得2分。</w:t>
            </w:r>
          </w:p>
          <w:p>
            <w:pPr>
              <w:pStyle w:val="14"/>
              <w:spacing w:before="0" w:after="0" w:line="440" w:lineRule="exact"/>
              <w:rPr>
                <w:rFonts w:ascii="宋体" w:hAnsi="宋体" w:eastAsia="宋体" w:cs="宋体"/>
                <w:bCs w:val="0"/>
                <w:sz w:val="28"/>
                <w:szCs w:val="28"/>
                <w:highlight w:val="none"/>
              </w:rPr>
            </w:pPr>
            <w:r>
              <w:rPr>
                <w:rFonts w:hint="eastAsia" w:ascii="宋体" w:hAnsi="宋体" w:eastAsia="宋体" w:cs="宋体"/>
                <w:bCs w:val="0"/>
                <w:sz w:val="28"/>
                <w:szCs w:val="28"/>
                <w:highlight w:val="none"/>
              </w:rPr>
              <w:t>注：</w:t>
            </w:r>
            <w:r>
              <w:rPr>
                <w:rFonts w:hint="eastAsia" w:ascii="宋体" w:hAnsi="宋体" w:eastAsia="宋体" w:cs="宋体"/>
                <w:kern w:val="1"/>
                <w:sz w:val="28"/>
                <w:szCs w:val="28"/>
                <w:highlight w:val="none"/>
              </w:rPr>
              <w:t>本项满分25分。</w:t>
            </w:r>
            <w:r>
              <w:rPr>
                <w:rFonts w:hint="eastAsia" w:ascii="宋体" w:hAnsi="宋体" w:eastAsia="宋体" w:cs="宋体"/>
                <w:bCs w:val="0"/>
                <w:sz w:val="28"/>
                <w:szCs w:val="28"/>
                <w:highlight w:val="none"/>
              </w:rPr>
              <w:t>需提供类似业绩合同复印件，以及其它能证明的材料，业绩时间以业绩合同签订之日为准。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jc w:val="center"/>
        </w:trPr>
        <w:tc>
          <w:tcPr>
            <w:tcW w:w="827" w:type="dxa"/>
            <w:vMerge w:val="restart"/>
            <w:noWrap/>
            <w:vAlign w:val="center"/>
          </w:tcPr>
          <w:p>
            <w:pPr>
              <w:pStyle w:val="4"/>
              <w:snapToGrid w:val="0"/>
              <w:spacing w:line="440" w:lineRule="exact"/>
              <w:ind w:firstLine="0"/>
              <w:jc w:val="center"/>
              <w:rPr>
                <w:rFonts w:ascii="宋体" w:hAnsi="宋体" w:eastAsia="宋体" w:cs="宋体"/>
                <w:sz w:val="28"/>
                <w:szCs w:val="28"/>
                <w:highlight w:val="none"/>
              </w:rPr>
            </w:pPr>
            <w:r>
              <w:rPr>
                <w:rFonts w:hint="eastAsia" w:ascii="宋体" w:hAnsi="宋体" w:eastAsia="宋体" w:cs="宋体"/>
                <w:sz w:val="28"/>
                <w:szCs w:val="28"/>
                <w:highlight w:val="none"/>
              </w:rPr>
              <w:t>2</w:t>
            </w:r>
          </w:p>
        </w:tc>
        <w:tc>
          <w:tcPr>
            <w:tcW w:w="1357" w:type="dxa"/>
            <w:vMerge w:val="restart"/>
            <w:noWrap/>
            <w:vAlign w:val="center"/>
          </w:tcPr>
          <w:p>
            <w:pPr>
              <w:spacing w:line="440" w:lineRule="exact"/>
              <w:jc w:val="center"/>
              <w:rPr>
                <w:rFonts w:ascii="宋体" w:hAnsi="宋体" w:eastAsia="宋体" w:cs="宋体"/>
                <w:kern w:val="1"/>
                <w:sz w:val="28"/>
                <w:szCs w:val="28"/>
                <w:highlight w:val="none"/>
              </w:rPr>
            </w:pPr>
            <w:r>
              <w:rPr>
                <w:rFonts w:hint="eastAsia" w:ascii="宋体" w:hAnsi="宋体" w:eastAsia="宋体" w:cs="宋体"/>
                <w:kern w:val="1"/>
                <w:sz w:val="28"/>
                <w:szCs w:val="28"/>
                <w:highlight w:val="none"/>
              </w:rPr>
              <w:t>具备履行合同所必需的设备和专业技术能力情况</w:t>
            </w:r>
            <w:r>
              <w:rPr>
                <w:rFonts w:hint="eastAsia" w:ascii="宋体" w:hAnsi="宋体" w:eastAsia="宋体" w:cs="宋体"/>
                <w:sz w:val="28"/>
                <w:szCs w:val="28"/>
                <w:highlight w:val="none"/>
              </w:rPr>
              <w:t>得分</w:t>
            </w:r>
          </w:p>
        </w:tc>
        <w:tc>
          <w:tcPr>
            <w:tcW w:w="1389" w:type="dxa"/>
            <w:noWrap/>
            <w:vAlign w:val="center"/>
          </w:tcPr>
          <w:p>
            <w:pPr>
              <w:spacing w:line="440" w:lineRule="exact"/>
              <w:jc w:val="center"/>
              <w:rPr>
                <w:rFonts w:ascii="宋体" w:hAnsi="宋体" w:eastAsia="宋体" w:cs="宋体"/>
                <w:kern w:val="1"/>
                <w:sz w:val="28"/>
                <w:szCs w:val="28"/>
                <w:highlight w:val="none"/>
              </w:rPr>
            </w:pPr>
            <w:r>
              <w:rPr>
                <w:rFonts w:hint="eastAsia" w:ascii="宋体" w:hAnsi="宋体" w:eastAsia="宋体" w:cs="宋体"/>
                <w:kern w:val="1"/>
                <w:sz w:val="28"/>
                <w:szCs w:val="28"/>
                <w:highlight w:val="none"/>
              </w:rPr>
              <w:t>21分</w:t>
            </w:r>
          </w:p>
        </w:tc>
        <w:tc>
          <w:tcPr>
            <w:tcW w:w="6272" w:type="dxa"/>
            <w:noWrap/>
            <w:vAlign w:val="center"/>
          </w:tcPr>
          <w:p>
            <w:pPr>
              <w:pStyle w:val="14"/>
              <w:spacing w:before="0" w:after="0" w:line="440" w:lineRule="exact"/>
              <w:rPr>
                <w:rFonts w:ascii="宋体" w:hAnsi="宋体" w:eastAsia="宋体" w:cs="宋体"/>
                <w:bCs w:val="0"/>
                <w:sz w:val="28"/>
                <w:szCs w:val="28"/>
                <w:highlight w:val="none"/>
              </w:rPr>
            </w:pPr>
            <w:r>
              <w:rPr>
                <w:rFonts w:hint="eastAsia" w:ascii="宋体" w:hAnsi="宋体" w:eastAsia="宋体" w:cs="宋体"/>
                <w:bCs w:val="0"/>
                <w:sz w:val="28"/>
                <w:szCs w:val="28"/>
                <w:highlight w:val="none"/>
              </w:rPr>
              <w:t>B.根据</w:t>
            </w:r>
            <w:r>
              <w:rPr>
                <w:rFonts w:hint="eastAsia" w:ascii="宋体" w:hAnsi="宋体" w:eastAsia="宋体" w:cs="宋体"/>
                <w:kern w:val="1"/>
                <w:sz w:val="28"/>
                <w:szCs w:val="28"/>
                <w:highlight w:val="none"/>
              </w:rPr>
              <w:t>比选</w:t>
            </w:r>
            <w:r>
              <w:rPr>
                <w:rFonts w:hint="eastAsia" w:ascii="宋体" w:hAnsi="宋体" w:eastAsia="宋体" w:cs="宋体"/>
                <w:bCs w:val="0"/>
                <w:sz w:val="28"/>
                <w:szCs w:val="28"/>
                <w:highlight w:val="none"/>
              </w:rPr>
              <w:t>申请人拟投入专业四轮垃圾代运密闭车情况进行评估：承诺中选后投入6辆四轮垃圾代运密闭车的，得12分，每增加1辆，加3分；承诺中选后投入少于6辆四轮垃圾代运密闭车的，不得分。</w:t>
            </w:r>
          </w:p>
          <w:p>
            <w:pPr>
              <w:pStyle w:val="10"/>
              <w:spacing w:before="0" w:beforeAutospacing="0" w:after="0" w:afterAutospacing="0" w:line="490" w:lineRule="exact"/>
              <w:jc w:val="both"/>
              <w:rPr>
                <w:highlight w:val="none"/>
              </w:rPr>
            </w:pPr>
            <w:r>
              <w:rPr>
                <w:rFonts w:hint="eastAsia"/>
                <w:sz w:val="28"/>
                <w:szCs w:val="28"/>
                <w:highlight w:val="none"/>
              </w:rPr>
              <w:t>注：</w:t>
            </w:r>
            <w:r>
              <w:rPr>
                <w:rFonts w:hint="eastAsia"/>
                <w:kern w:val="1"/>
                <w:sz w:val="28"/>
                <w:szCs w:val="28"/>
                <w:highlight w:val="none"/>
              </w:rPr>
              <w:t>本项满分21分。需提供承诺函并明确拟投入车辆数量</w:t>
            </w:r>
            <w:r>
              <w:rPr>
                <w:rFonts w:hint="eastAsia"/>
                <w:sz w:val="28"/>
                <w:szCs w:val="28"/>
                <w:highlight w:val="none"/>
              </w:rPr>
              <w:t>（格式自拟）</w:t>
            </w:r>
            <w:r>
              <w:rPr>
                <w:rFonts w:hint="eastAsia"/>
                <w:kern w:val="1"/>
                <w:sz w:val="28"/>
                <w:szCs w:val="28"/>
                <w:highlight w:val="none"/>
              </w:rPr>
              <w:t>。</w:t>
            </w:r>
            <w:r>
              <w:rPr>
                <w:rFonts w:hint="eastAsia"/>
                <w:sz w:val="28"/>
                <w:szCs w:val="28"/>
                <w:highlight w:val="none"/>
              </w:rPr>
              <w:t>专业四轮垃圾代运密闭车辆可为自有或租赁车辆。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ign w:val="center"/>
          </w:tcPr>
          <w:p>
            <w:pPr>
              <w:pStyle w:val="4"/>
              <w:snapToGrid w:val="0"/>
              <w:spacing w:line="440" w:lineRule="exact"/>
              <w:ind w:firstLine="0"/>
              <w:jc w:val="center"/>
              <w:rPr>
                <w:rFonts w:ascii="宋体" w:hAnsi="宋体" w:eastAsia="宋体" w:cs="宋体"/>
                <w:sz w:val="28"/>
                <w:szCs w:val="28"/>
                <w:highlight w:val="none"/>
              </w:rPr>
            </w:pPr>
          </w:p>
        </w:tc>
        <w:tc>
          <w:tcPr>
            <w:tcW w:w="1357" w:type="dxa"/>
            <w:vMerge w:val="continue"/>
            <w:noWrap/>
            <w:vAlign w:val="center"/>
          </w:tcPr>
          <w:p>
            <w:pPr>
              <w:spacing w:line="440" w:lineRule="exact"/>
              <w:jc w:val="center"/>
              <w:rPr>
                <w:rFonts w:ascii="宋体" w:hAnsi="宋体" w:eastAsia="宋体" w:cs="宋体"/>
                <w:kern w:val="1"/>
                <w:sz w:val="28"/>
                <w:szCs w:val="28"/>
                <w:highlight w:val="none"/>
              </w:rPr>
            </w:pPr>
          </w:p>
        </w:tc>
        <w:tc>
          <w:tcPr>
            <w:tcW w:w="1389" w:type="dxa"/>
            <w:noWrap/>
            <w:vAlign w:val="center"/>
          </w:tcPr>
          <w:p>
            <w:pPr>
              <w:spacing w:line="440" w:lineRule="exact"/>
              <w:jc w:val="center"/>
              <w:rPr>
                <w:rFonts w:ascii="宋体" w:hAnsi="宋体" w:eastAsia="宋体" w:cs="宋体"/>
                <w:kern w:val="1"/>
                <w:sz w:val="28"/>
                <w:szCs w:val="28"/>
                <w:highlight w:val="none"/>
              </w:rPr>
            </w:pPr>
            <w:r>
              <w:rPr>
                <w:rFonts w:hint="eastAsia" w:ascii="宋体" w:hAnsi="宋体" w:eastAsia="宋体" w:cs="宋体"/>
                <w:kern w:val="1"/>
                <w:sz w:val="28"/>
                <w:szCs w:val="28"/>
                <w:highlight w:val="none"/>
              </w:rPr>
              <w:t>24分</w:t>
            </w:r>
          </w:p>
        </w:tc>
        <w:tc>
          <w:tcPr>
            <w:tcW w:w="6272" w:type="dxa"/>
            <w:noWrap/>
            <w:vAlign w:val="center"/>
          </w:tcPr>
          <w:p>
            <w:pPr>
              <w:numPr>
                <w:ilvl w:val="0"/>
                <w:numId w:val="2"/>
              </w:numPr>
              <w:spacing w:line="440" w:lineRule="exact"/>
              <w:rPr>
                <w:rFonts w:ascii="宋体" w:hAnsi="宋体" w:eastAsia="宋体" w:cs="宋体"/>
                <w:kern w:val="1"/>
                <w:sz w:val="28"/>
                <w:szCs w:val="28"/>
                <w:highlight w:val="none"/>
              </w:rPr>
            </w:pPr>
            <w:r>
              <w:rPr>
                <w:rFonts w:hint="eastAsia" w:ascii="宋体" w:hAnsi="宋体" w:eastAsia="宋体" w:cs="宋体"/>
                <w:sz w:val="28"/>
                <w:szCs w:val="28"/>
                <w:highlight w:val="none"/>
              </w:rPr>
              <w:t>根据</w:t>
            </w:r>
            <w:r>
              <w:rPr>
                <w:rFonts w:hint="eastAsia" w:ascii="宋体" w:hAnsi="宋体" w:eastAsia="宋体" w:cs="宋体"/>
                <w:kern w:val="1"/>
                <w:sz w:val="28"/>
                <w:szCs w:val="28"/>
                <w:highlight w:val="none"/>
              </w:rPr>
              <w:t>比选</w:t>
            </w:r>
            <w:r>
              <w:rPr>
                <w:rFonts w:hint="eastAsia" w:ascii="宋体" w:hAnsi="宋体" w:eastAsia="宋体" w:cs="宋体"/>
                <w:sz w:val="28"/>
                <w:szCs w:val="28"/>
                <w:highlight w:val="none"/>
              </w:rPr>
              <w:t>申请人拟派出清运操作人员情况进行评估：拟派出6组</w:t>
            </w:r>
            <w:r>
              <w:rPr>
                <w:rFonts w:hint="eastAsia" w:ascii="宋体" w:hAnsi="宋体" w:eastAsia="宋体" w:cs="宋体"/>
                <w:kern w:val="1"/>
                <w:sz w:val="28"/>
                <w:szCs w:val="28"/>
                <w:highlight w:val="none"/>
              </w:rPr>
              <w:t>清运操作人员</w:t>
            </w:r>
            <w:r>
              <w:rPr>
                <w:rFonts w:hint="eastAsia" w:ascii="宋体" w:hAnsi="宋体" w:eastAsia="宋体" w:cs="宋体"/>
                <w:kern w:val="1"/>
                <w:sz w:val="28"/>
                <w:szCs w:val="28"/>
                <w:highlight w:val="none"/>
                <w:lang w:eastAsia="zh-CN"/>
              </w:rPr>
              <w:t>的</w:t>
            </w:r>
            <w:r>
              <w:rPr>
                <w:rFonts w:hint="eastAsia" w:ascii="宋体" w:hAnsi="宋体" w:eastAsia="宋体" w:cs="宋体"/>
                <w:kern w:val="1"/>
                <w:sz w:val="28"/>
                <w:szCs w:val="28"/>
                <w:highlight w:val="none"/>
              </w:rPr>
              <w:t>（每组包含1名司机和1名装卸工)得12分</w:t>
            </w:r>
            <w:r>
              <w:rPr>
                <w:rFonts w:hint="eastAsia" w:ascii="宋体" w:hAnsi="宋体" w:eastAsia="宋体" w:cs="宋体"/>
                <w:kern w:val="1"/>
                <w:sz w:val="28"/>
                <w:szCs w:val="28"/>
                <w:highlight w:val="none"/>
                <w:lang w:eastAsia="zh-CN"/>
              </w:rPr>
              <w:t>；</w:t>
            </w:r>
            <w:r>
              <w:rPr>
                <w:rFonts w:hint="eastAsia" w:ascii="宋体" w:hAnsi="宋体" w:eastAsia="宋体" w:cs="宋体"/>
                <w:kern w:val="1"/>
                <w:sz w:val="28"/>
                <w:szCs w:val="28"/>
                <w:highlight w:val="none"/>
              </w:rPr>
              <w:t>每增加1组清运操作人员，加4分。</w:t>
            </w:r>
          </w:p>
          <w:p>
            <w:pPr>
              <w:spacing w:line="440" w:lineRule="exact"/>
              <w:rPr>
                <w:rFonts w:ascii="宋体" w:hAnsi="宋体" w:eastAsia="宋体" w:cs="宋体"/>
                <w:kern w:val="1"/>
                <w:sz w:val="28"/>
                <w:szCs w:val="28"/>
                <w:highlight w:val="none"/>
              </w:rPr>
            </w:pPr>
            <w:r>
              <w:rPr>
                <w:rFonts w:hint="eastAsia" w:ascii="宋体" w:hAnsi="宋体" w:eastAsia="宋体" w:cs="宋体"/>
                <w:sz w:val="28"/>
                <w:szCs w:val="28"/>
                <w:highlight w:val="none"/>
              </w:rPr>
              <w:t>注：</w:t>
            </w:r>
            <w:r>
              <w:rPr>
                <w:rFonts w:hint="eastAsia" w:ascii="宋体" w:hAnsi="宋体" w:eastAsia="宋体" w:cs="宋体"/>
                <w:kern w:val="1"/>
                <w:sz w:val="28"/>
                <w:szCs w:val="28"/>
                <w:highlight w:val="none"/>
              </w:rPr>
              <w:t>本项满分24分。</w:t>
            </w:r>
            <w:r>
              <w:rPr>
                <w:rFonts w:hint="eastAsia" w:ascii="宋体" w:hAnsi="宋体" w:eastAsia="宋体" w:cs="宋体"/>
                <w:sz w:val="28"/>
                <w:szCs w:val="28"/>
                <w:highlight w:val="none"/>
              </w:rPr>
              <w:t>需提供</w:t>
            </w:r>
            <w:r>
              <w:rPr>
                <w:rFonts w:hint="eastAsia" w:ascii="宋体" w:hAnsi="宋体" w:eastAsia="宋体" w:cs="宋体"/>
                <w:kern w:val="1"/>
                <w:sz w:val="28"/>
                <w:szCs w:val="28"/>
                <w:highlight w:val="none"/>
              </w:rPr>
              <w:t>人员汇总表（格式自拟）；近三个月社保缴纳证明原件。清运操作人员应为比选申请人的本企业在岗人员，以社保部门出具的社保缴纳证明所属单位为准。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45" w:type="dxa"/>
            <w:gridSpan w:val="4"/>
            <w:noWrap/>
            <w:vAlign w:val="center"/>
          </w:tcPr>
          <w:p>
            <w:pPr>
              <w:tabs>
                <w:tab w:val="left" w:pos="312"/>
              </w:tabs>
              <w:spacing w:line="440" w:lineRule="exac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注：</w:t>
            </w:r>
          </w:p>
          <w:p>
            <w:pPr>
              <w:numPr>
                <w:ilvl w:val="0"/>
                <w:numId w:val="3"/>
              </w:numPr>
              <w:tabs>
                <w:tab w:val="left" w:pos="2100"/>
              </w:tabs>
              <w:spacing w:line="440" w:lineRule="exac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比选申请人的</w:t>
            </w:r>
            <w:r>
              <w:rPr>
                <w:rFonts w:hint="eastAsia"/>
                <w:sz w:val="28"/>
                <w:szCs w:val="28"/>
                <w:highlight w:val="none"/>
              </w:rPr>
              <w:t>综合得分</w:t>
            </w:r>
            <w:r>
              <w:rPr>
                <w:rFonts w:hint="eastAsia" w:ascii="宋体" w:hAnsi="宋体" w:eastAsia="宋体" w:cs="宋体"/>
                <w:sz w:val="28"/>
                <w:szCs w:val="28"/>
                <w:highlight w:val="none"/>
                <w:lang w:val="en-US" w:eastAsia="zh-CN"/>
              </w:rPr>
              <w:t>不得低于60分，不推荐为</w:t>
            </w:r>
            <w:r>
              <w:rPr>
                <w:rFonts w:hint="eastAsia"/>
                <w:sz w:val="28"/>
                <w:szCs w:val="28"/>
                <w:highlight w:val="none"/>
              </w:rPr>
              <w:t>中选</w:t>
            </w:r>
            <w:r>
              <w:rPr>
                <w:rFonts w:hint="eastAsia"/>
                <w:sz w:val="28"/>
                <w:szCs w:val="28"/>
                <w:highlight w:val="none"/>
                <w:lang w:eastAsia="zh-CN"/>
              </w:rPr>
              <w:t>候选人</w:t>
            </w:r>
            <w:r>
              <w:rPr>
                <w:rFonts w:hint="eastAsia" w:ascii="宋体" w:hAnsi="宋体" w:eastAsia="宋体" w:cs="宋体"/>
                <w:sz w:val="28"/>
                <w:szCs w:val="28"/>
                <w:highlight w:val="none"/>
              </w:rPr>
              <w:t>。</w:t>
            </w:r>
          </w:p>
          <w:p>
            <w:pPr>
              <w:numPr>
                <w:ilvl w:val="0"/>
                <w:numId w:val="0"/>
              </w:numPr>
              <w:spacing w:line="440" w:lineRule="exact"/>
              <w:rPr>
                <w:rFonts w:hint="default" w:eastAsiaTheme="minorEastAsia"/>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以上证明材料均应加盖比选申请人单位公章。</w:t>
            </w:r>
          </w:p>
        </w:tc>
      </w:tr>
    </w:tbl>
    <w:p>
      <w:pPr>
        <w:widowControl/>
        <w:spacing w:line="500" w:lineRule="exact"/>
        <w:ind w:firstLine="480"/>
        <w:jc w:val="left"/>
        <w:rPr>
          <w:highlight w:val="none"/>
        </w:rPr>
      </w:pPr>
    </w:p>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19DE4"/>
    <w:multiLevelType w:val="singleLevel"/>
    <w:tmpl w:val="9CB19DE4"/>
    <w:lvl w:ilvl="0" w:tentative="0">
      <w:start w:val="1"/>
      <w:numFmt w:val="decimal"/>
      <w:suff w:val="nothing"/>
      <w:lvlText w:val="（%1）"/>
      <w:lvlJc w:val="left"/>
    </w:lvl>
  </w:abstractNum>
  <w:abstractNum w:abstractNumId="1">
    <w:nsid w:val="C17F1FF8"/>
    <w:multiLevelType w:val="singleLevel"/>
    <w:tmpl w:val="C17F1FF8"/>
    <w:lvl w:ilvl="0" w:tentative="0">
      <w:start w:val="1"/>
      <w:numFmt w:val="decimal"/>
      <w:lvlText w:val="%1."/>
      <w:lvlJc w:val="left"/>
      <w:pPr>
        <w:tabs>
          <w:tab w:val="left" w:pos="312"/>
        </w:tabs>
      </w:pPr>
    </w:lvl>
  </w:abstractNum>
  <w:abstractNum w:abstractNumId="2">
    <w:nsid w:val="D7113E32"/>
    <w:multiLevelType w:val="singleLevel"/>
    <w:tmpl w:val="D7113E32"/>
    <w:lvl w:ilvl="0" w:tentative="0">
      <w:start w:val="3"/>
      <w:numFmt w:val="upperLetter"/>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3E0148D0"/>
    <w:rsid w:val="3E014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 w:val="left" w:pos="993"/>
        <w:tab w:val="left" w:pos="1134"/>
      </w:tabs>
      <w:adjustRightInd w:val="0"/>
      <w:spacing w:line="312" w:lineRule="atLeast"/>
      <w:ind w:firstLine="420" w:firstLineChars="200"/>
      <w:textAlignment w:val="baseline"/>
    </w:pPr>
  </w:style>
  <w:style w:type="paragraph" w:styleId="3">
    <w:name w:val="Body Text Indent"/>
    <w:basedOn w:val="1"/>
    <w:next w:val="1"/>
    <w:qFormat/>
    <w:uiPriority w:val="0"/>
    <w:pPr>
      <w:ind w:left="420" w:leftChars="200"/>
    </w:pPr>
  </w:style>
  <w:style w:type="paragraph" w:styleId="4">
    <w:name w:val="Normal Indent"/>
    <w:basedOn w:val="1"/>
    <w:qFormat/>
    <w:uiPriority w:val="0"/>
    <w:pPr>
      <w:ind w:firstLine="420"/>
    </w:pPr>
  </w:style>
  <w:style w:type="paragraph" w:styleId="5">
    <w:name w:val="Body Text"/>
    <w:basedOn w:val="1"/>
    <w:next w:val="6"/>
    <w:qFormat/>
    <w:uiPriority w:val="0"/>
    <w:pPr>
      <w:spacing w:line="380" w:lineRule="exact"/>
    </w:pPr>
    <w:rPr>
      <w:sz w:val="24"/>
    </w:rPr>
  </w:style>
  <w:style w:type="paragraph" w:styleId="6">
    <w:name w:val="Body Text First Indent"/>
    <w:basedOn w:val="5"/>
    <w:next w:val="7"/>
    <w:qFormat/>
    <w:uiPriority w:val="0"/>
    <w:pPr>
      <w:spacing w:after="120" w:line="240" w:lineRule="auto"/>
      <w:ind w:firstLine="100" w:firstLineChars="100"/>
    </w:pPr>
    <w:rPr>
      <w:sz w:val="21"/>
    </w:rPr>
  </w:style>
  <w:style w:type="paragraph" w:styleId="7">
    <w:name w:val="toc 6"/>
    <w:basedOn w:val="1"/>
    <w:next w:val="1"/>
    <w:unhideWhenUsed/>
    <w:qFormat/>
    <w:uiPriority w:val="39"/>
    <w:pPr>
      <w:ind w:left="1050"/>
      <w:jc w:val="left"/>
    </w:pPr>
    <w:rPr>
      <w:rFonts w:cs="Calibri"/>
      <w:sz w:val="18"/>
      <w:szCs w:val="18"/>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qFormat/>
    <w:uiPriority w:val="10"/>
    <w:pPr>
      <w:spacing w:before="60" w:after="60"/>
      <w:jc w:val="center"/>
      <w:outlineLvl w:val="0"/>
    </w:pPr>
    <w:rPr>
      <w:rFonts w:ascii="Cambria" w:hAnsi="Cambria" w:cs="Times New Roman"/>
      <w:b/>
      <w:bCs/>
      <w:szCs w:val="32"/>
    </w:rPr>
  </w:style>
  <w:style w:type="paragraph" w:customStyle="1" w:styleId="14">
    <w:name w:val="表格文字"/>
    <w:basedOn w:val="1"/>
    <w:next w:val="5"/>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2023-12-25T03:54:00Z</dcterms:created>
  <dc:creator>WPS_290539506</dc:creator>
  <cp:lastModifiedBy>WPS_290539506</cp:lastModifiedBy>
  <dcterms:modified xsi:type="dcterms:W3CDTF">2023-12-25T03:54:29Z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1F728358782A42E28761334AE67E5EF7_11</vt:lpwstr>
  </property>
</Properties>
</file>