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2023年度城发集团部分项目（400万元以下）预算审核单位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2023年度城发集团部分项目（400万元以下）预算审核单位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3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1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3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3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3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3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2023年度城发集团部分项目（400万元以下）预算审核单位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3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1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附件2：报价函格式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1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2-1</w:t>
      </w:r>
      <w:r>
        <w:rPr>
          <w:rFonts w:hint="eastAsia" w:ascii="宋体" w:hAnsiTheme="minorHAnsi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分项报价表</w:t>
      </w:r>
    </w:p>
    <w:p>
      <w:pPr>
        <w:pStyle w:val="2"/>
        <w:jc w:val="center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2023年度城发集团部分项目（400万元以下）预算审核单位</w:t>
      </w:r>
    </w:p>
    <w:p>
      <w:pPr>
        <w:pStyle w:val="2"/>
        <w:jc w:val="center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分项报价表</w:t>
      </w:r>
    </w:p>
    <w:tbl>
      <w:tblPr>
        <w:tblStyle w:val="19"/>
        <w:tblW w:w="10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4162"/>
        <w:gridCol w:w="1488"/>
        <w:gridCol w:w="1687"/>
        <w:gridCol w:w="1387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预算金额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预算审核</w:t>
            </w: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服务费用</w:t>
            </w:r>
          </w:p>
        </w:tc>
        <w:tc>
          <w:tcPr>
            <w:tcW w:w="13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服务期限</w:t>
            </w: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2023年度瑞云宾馆改造项目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150万元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87" w:type="dxa"/>
            <w:vMerge w:val="restart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具体以比选人下达的通知及图纸为准</w:t>
            </w: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碧湖196幢D座2单位人才公寓装修改造项目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200万元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87" w:type="dxa"/>
            <w:vMerge w:val="continue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市直碧湖周转房中心改造项目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120万元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87" w:type="dxa"/>
            <w:vMerge w:val="continue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三明市原图书馆一楼 (E三明) 改造工程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150万元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1387" w:type="dxa"/>
            <w:vMerge w:val="continue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城市文化广场各场馆屋面维修加固及会议中心馆内修缮项目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350万元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87" w:type="dxa"/>
            <w:vMerge w:val="continue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沙县金立国际酒店地块改造提升项目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386万元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87" w:type="dxa"/>
            <w:vMerge w:val="continue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4162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2023 年度城发物业维修项目</w:t>
            </w:r>
          </w:p>
        </w:tc>
        <w:tc>
          <w:tcPr>
            <w:tcW w:w="1488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  <w:t>100万元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1387" w:type="dxa"/>
            <w:vMerge w:val="continue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3" w:type="dxa"/>
            <w:gridSpan w:val="3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687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87" w:type="dxa"/>
            <w:vMerge w:val="continue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  <w:tc>
          <w:tcPr>
            <w:tcW w:w="913" w:type="dxa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b w:val="0"/>
                <w:bCs w:val="0"/>
                <w:color w:val="auto"/>
                <w:highlight w:val="none"/>
                <w:vertAlign w:val="baseline"/>
                <w:lang w:eastAsia="zh-CN"/>
              </w:rPr>
            </w:pPr>
          </w:p>
        </w:tc>
      </w:tr>
    </w:tbl>
    <w:p>
      <w:pPr>
        <w:pStyle w:val="2"/>
        <w:rPr>
          <w:rFonts w:hint="default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default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比选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2"/>
        <w:jc w:val="right"/>
        <w:rPr>
          <w:rFonts w:hint="default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DB7918"/>
    <w:rsid w:val="021E6342"/>
    <w:rsid w:val="022A6118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D617BA"/>
    <w:rsid w:val="0CEC1E7D"/>
    <w:rsid w:val="0DB074A5"/>
    <w:rsid w:val="0E4A75B0"/>
    <w:rsid w:val="0E4B355A"/>
    <w:rsid w:val="0EED009A"/>
    <w:rsid w:val="0F0715E2"/>
    <w:rsid w:val="0F875971"/>
    <w:rsid w:val="0FE95EB3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4D57BF1"/>
    <w:rsid w:val="15494126"/>
    <w:rsid w:val="157601E9"/>
    <w:rsid w:val="15CC7688"/>
    <w:rsid w:val="15CD72AC"/>
    <w:rsid w:val="15F757BB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ED18D3"/>
    <w:rsid w:val="183D0F5D"/>
    <w:rsid w:val="18641DA2"/>
    <w:rsid w:val="186C02C4"/>
    <w:rsid w:val="18D41847"/>
    <w:rsid w:val="193C2EF3"/>
    <w:rsid w:val="19650358"/>
    <w:rsid w:val="1A045DC3"/>
    <w:rsid w:val="1BD85EAD"/>
    <w:rsid w:val="1C355BA8"/>
    <w:rsid w:val="1C420FD5"/>
    <w:rsid w:val="1C540E62"/>
    <w:rsid w:val="1C98317F"/>
    <w:rsid w:val="1CA86737"/>
    <w:rsid w:val="1CBD66FD"/>
    <w:rsid w:val="1CD37CCF"/>
    <w:rsid w:val="1CDB2579"/>
    <w:rsid w:val="1D4E55A7"/>
    <w:rsid w:val="1D7B3892"/>
    <w:rsid w:val="1D9F6FB2"/>
    <w:rsid w:val="1DA768DB"/>
    <w:rsid w:val="1DE30541"/>
    <w:rsid w:val="1DEB07C1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6E415B"/>
    <w:rsid w:val="21AE1995"/>
    <w:rsid w:val="22256FC9"/>
    <w:rsid w:val="22296F81"/>
    <w:rsid w:val="22837B15"/>
    <w:rsid w:val="22996B94"/>
    <w:rsid w:val="229D303A"/>
    <w:rsid w:val="22A43C4B"/>
    <w:rsid w:val="231150AD"/>
    <w:rsid w:val="23D408C6"/>
    <w:rsid w:val="23DC6E7B"/>
    <w:rsid w:val="249146F7"/>
    <w:rsid w:val="24EC13C2"/>
    <w:rsid w:val="252C1E57"/>
    <w:rsid w:val="257B0F03"/>
    <w:rsid w:val="25A716A7"/>
    <w:rsid w:val="25CE327D"/>
    <w:rsid w:val="26143832"/>
    <w:rsid w:val="26302F5E"/>
    <w:rsid w:val="26702AD6"/>
    <w:rsid w:val="26824487"/>
    <w:rsid w:val="269B185D"/>
    <w:rsid w:val="277F1F7D"/>
    <w:rsid w:val="27A51CCE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4181F9A"/>
    <w:rsid w:val="342530EF"/>
    <w:rsid w:val="34782B6D"/>
    <w:rsid w:val="34886716"/>
    <w:rsid w:val="34E07E4F"/>
    <w:rsid w:val="35247985"/>
    <w:rsid w:val="35814314"/>
    <w:rsid w:val="358E1178"/>
    <w:rsid w:val="35A61FCC"/>
    <w:rsid w:val="35C80E21"/>
    <w:rsid w:val="35DE1766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376ECB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B0E6FA8"/>
    <w:rsid w:val="3B181B49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1C486C"/>
    <w:rsid w:val="3D3B749E"/>
    <w:rsid w:val="3D47402E"/>
    <w:rsid w:val="3D807BF4"/>
    <w:rsid w:val="3E057757"/>
    <w:rsid w:val="3E0C562A"/>
    <w:rsid w:val="3E223293"/>
    <w:rsid w:val="3E9E427D"/>
    <w:rsid w:val="3EB66CCD"/>
    <w:rsid w:val="3ED52753"/>
    <w:rsid w:val="3EE15E23"/>
    <w:rsid w:val="3F1A64DC"/>
    <w:rsid w:val="3F826E18"/>
    <w:rsid w:val="402D47C9"/>
    <w:rsid w:val="404C7FFE"/>
    <w:rsid w:val="40676A47"/>
    <w:rsid w:val="414F602A"/>
    <w:rsid w:val="41577B5D"/>
    <w:rsid w:val="415E7BFF"/>
    <w:rsid w:val="41905470"/>
    <w:rsid w:val="41EC33D7"/>
    <w:rsid w:val="4222708E"/>
    <w:rsid w:val="426506CF"/>
    <w:rsid w:val="42674D95"/>
    <w:rsid w:val="427609CA"/>
    <w:rsid w:val="42E10B89"/>
    <w:rsid w:val="43443D72"/>
    <w:rsid w:val="434877D8"/>
    <w:rsid w:val="434F03DE"/>
    <w:rsid w:val="43936CA2"/>
    <w:rsid w:val="43B808F8"/>
    <w:rsid w:val="448654A3"/>
    <w:rsid w:val="44F96048"/>
    <w:rsid w:val="45225864"/>
    <w:rsid w:val="45284A0F"/>
    <w:rsid w:val="455F1BA2"/>
    <w:rsid w:val="458539AC"/>
    <w:rsid w:val="45F35D2E"/>
    <w:rsid w:val="46963A2E"/>
    <w:rsid w:val="469837E9"/>
    <w:rsid w:val="46F71824"/>
    <w:rsid w:val="472F6B34"/>
    <w:rsid w:val="473F5DDD"/>
    <w:rsid w:val="47415DF9"/>
    <w:rsid w:val="476D241D"/>
    <w:rsid w:val="47C0525A"/>
    <w:rsid w:val="484256D6"/>
    <w:rsid w:val="4846398B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847FE6"/>
    <w:rsid w:val="509B0613"/>
    <w:rsid w:val="50A4750D"/>
    <w:rsid w:val="50E6602D"/>
    <w:rsid w:val="50FE0569"/>
    <w:rsid w:val="51510BE7"/>
    <w:rsid w:val="51592A60"/>
    <w:rsid w:val="51744496"/>
    <w:rsid w:val="51DF5EE2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4477A9"/>
    <w:rsid w:val="54A31759"/>
    <w:rsid w:val="54AC77F1"/>
    <w:rsid w:val="54B13489"/>
    <w:rsid w:val="54E33DC2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900246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25287C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4C7149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DB195B"/>
    <w:rsid w:val="66F35AF0"/>
    <w:rsid w:val="681B4C44"/>
    <w:rsid w:val="68205F11"/>
    <w:rsid w:val="6826671D"/>
    <w:rsid w:val="68303C5A"/>
    <w:rsid w:val="68761B03"/>
    <w:rsid w:val="6884144A"/>
    <w:rsid w:val="689B2842"/>
    <w:rsid w:val="68A044D6"/>
    <w:rsid w:val="692929C9"/>
    <w:rsid w:val="6949691B"/>
    <w:rsid w:val="6A4E5F35"/>
    <w:rsid w:val="6B3F31FC"/>
    <w:rsid w:val="6B520650"/>
    <w:rsid w:val="6C150C79"/>
    <w:rsid w:val="6C2F4CB4"/>
    <w:rsid w:val="6C572194"/>
    <w:rsid w:val="6C733C7B"/>
    <w:rsid w:val="6D2A440F"/>
    <w:rsid w:val="6D975C3C"/>
    <w:rsid w:val="6DF42310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AE23F9"/>
    <w:rsid w:val="73F21C7A"/>
    <w:rsid w:val="7416093F"/>
    <w:rsid w:val="742A559B"/>
    <w:rsid w:val="74BC6782"/>
    <w:rsid w:val="7504558C"/>
    <w:rsid w:val="7512724A"/>
    <w:rsid w:val="75175073"/>
    <w:rsid w:val="752A6C74"/>
    <w:rsid w:val="752E6832"/>
    <w:rsid w:val="754B0FDA"/>
    <w:rsid w:val="755248A6"/>
    <w:rsid w:val="7552615C"/>
    <w:rsid w:val="75682860"/>
    <w:rsid w:val="757565AD"/>
    <w:rsid w:val="75EA401A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7D22BB"/>
    <w:rsid w:val="7AAB5D93"/>
    <w:rsid w:val="7ADF3975"/>
    <w:rsid w:val="7B21291C"/>
    <w:rsid w:val="7B242537"/>
    <w:rsid w:val="7B310FBD"/>
    <w:rsid w:val="7BCB60E0"/>
    <w:rsid w:val="7BD14F61"/>
    <w:rsid w:val="7BDE5535"/>
    <w:rsid w:val="7C0C3ED0"/>
    <w:rsid w:val="7C1F4015"/>
    <w:rsid w:val="7C3255A3"/>
    <w:rsid w:val="7C5249ED"/>
    <w:rsid w:val="7C5A2FDE"/>
    <w:rsid w:val="7C63220F"/>
    <w:rsid w:val="7CA35578"/>
    <w:rsid w:val="7CA51274"/>
    <w:rsid w:val="7D020CA4"/>
    <w:rsid w:val="7D2F6B86"/>
    <w:rsid w:val="7D4C0957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2570</Words>
  <Characters>2666</Characters>
  <Lines>16</Lines>
  <Paragraphs>4</Paragraphs>
  <TotalTime>28</TotalTime>
  <ScaleCrop>false</ScaleCrop>
  <LinksUpToDate>false</LinksUpToDate>
  <CharactersWithSpaces>2959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2023-11-07T01:25:00Z</cp:lastPrinted>
  <dcterms:modified xsi:type="dcterms:W3CDTF">2023-11-09T07:41:57Z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6A4797CBF990493997049E6489842E1B_13</vt:lpwstr>
  </property>
</Properties>
</file>