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bookmarkEnd w:id="0"/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福建东南设计集团有限公司房地产分公司、三明生态新城明城康养投资开发有限公司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城发天悦湾、三明生态康养城建设项目2023年度营销物料制作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城发天悦湾、三明生态康养城建设项目2023年度营销物料制作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业绩证明材料；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</w:t>
      </w:r>
      <w:r>
        <w:rPr>
          <w:rFonts w:hint="eastAsia"/>
          <w:color w:val="auto"/>
          <w:highlight w:val="none"/>
          <w:lang w:eastAsia="zh-CN"/>
        </w:rPr>
        <w:t>（盖单位公章）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须附上营业执照，并加盖单位公章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（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val="en-US" w:eastAsia="zh-CN"/>
        </w:rPr>
        <w:t>2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上述各类证书发生变更的，应办理完变更手续方可参加比选，并以发证机关核准的变更为准；否则为证书无效进行评定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城发天悦湾、三明生态康养城建设项目2023年度营销物料制作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both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注：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double"/>
          <w:lang w:val="en-US" w:eastAsia="zh-CN" w:bidi="ar-SA"/>
        </w:rPr>
        <w:t>比选申请人须提供法定代表人、委托代理人身份证复印件并加盖单位公章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1-3.业绩证明材料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cs="宋体"/>
          <w:color w:val="auto"/>
          <w:sz w:val="24"/>
          <w:szCs w:val="24"/>
          <w:highlight w:val="none"/>
          <w:u w:val="none"/>
          <w:lang w:val="en-US" w:eastAsia="zh-CN"/>
        </w:rPr>
        <w:t>比选申请人自本比选项目发布比选公告之日的前一年内（含本比选项目发布比选公告之日）具备至少两项房地产行业的类似业绩（须提供类似业绩合同复印件、合同款正式发票复印件，业绩时间以业绩合同签订之日为准）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hint="eastAsia" w:cs="宋体"/>
          <w:color w:val="auto"/>
          <w:sz w:val="24"/>
          <w:szCs w:val="24"/>
          <w:highlight w:val="none"/>
          <w:u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1-4.报价函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交货时限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72AC06A9"/>
    <w:rsid w:val="72AC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1022</Words>
  <Characters>1045</Characters>
  <Lines>0</Lines>
  <Paragraphs>0</Paragraphs>
  <TotalTime>0</TotalTime>
  <ScaleCrop>false</ScaleCrop>
  <LinksUpToDate>false</LinksUpToDate>
  <CharactersWithSpaces>1336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2023-06-13T07:52:00Z</dcterms:created>
  <dc:creator>WPS_290539506</dc:creator>
  <cp:lastModifiedBy>WPS_290539506</cp:lastModifiedBy>
  <dcterms:modified xsi:type="dcterms:W3CDTF">2023-06-13T07:52:48Z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B7EF6E2BB2C7457985D995B01EF18945_11</vt:lpwstr>
  </property>
</Properties>
</file>