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2：</w:t>
      </w:r>
      <w:bookmarkStart w:id="7" w:name="_GoBack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评估办法</w:t>
      </w:r>
      <w:bookmarkEnd w:id="7"/>
    </w:p>
    <w:p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综合评估中选法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本比选项目采用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综合评估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中选法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若资格条件、报价符合要求的比选申请人仅有1家时，直接确定其为候选单位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。若资格条件、报价符合要求的比选申请人数量超过1家时，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符合要求的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按照本评估办法中规定的各项因素进行综合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评估，并根据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比选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申请人的综合得分由高到低排序，综合得分最高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的为第一中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候选人，以此类推选择第二、第三中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候选人。当出现二个或二个以上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综合得分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相同时，由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依次按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报价由低到高、拟派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拟派出本项目团队情况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得分由高到低、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律师事务所基本情况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得分由高到低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进行排序，若上述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项均相同时，由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随机抽取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以比选申请人提交比选申请书的签到号作为代表号（代表号不再另行抽取）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进行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随机抽取，先抽取出来的球号排序在前。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各项因素分值如下：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A：价格部分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得分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满分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val="en-US" w:eastAsia="zh-CN"/>
        </w:rPr>
        <w:t>60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分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B：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技术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部分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得分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满分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lang w:val="en-US" w:eastAsia="zh-CN"/>
        </w:rPr>
        <w:t>40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480"/>
        <w:jc w:val="left"/>
        <w:textAlignment w:val="auto"/>
        <w:rPr>
          <w:rFonts w:ascii="宋体" w:hAnsi="宋体" w:cs="宋体"/>
          <w:color w:val="auto"/>
          <w:kern w:val="1"/>
          <w:sz w:val="28"/>
          <w:szCs w:val="28"/>
          <w:highlight w:val="none"/>
        </w:rPr>
      </w:pPr>
    </w:p>
    <w:p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jc w:val="both"/>
        <w:textAlignment w:val="auto"/>
        <w:outlineLvl w:val="9"/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第一部分  价格部分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eastAsia="zh-CN"/>
        </w:rPr>
        <w:t>评估标准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ab/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val="en-US" w:eastAsia="zh-CN"/>
        </w:rPr>
        <w:t>60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分）</w:t>
      </w:r>
    </w:p>
    <w:tbl>
      <w:tblPr>
        <w:tblStyle w:val="22"/>
        <w:tblpPr w:leftFromText="180" w:rightFromText="180" w:vertAnchor="text" w:horzAnchor="page" w:tblpX="1142" w:tblpY="431"/>
        <w:tblOverlap w:val="never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381"/>
        <w:gridCol w:w="1374"/>
        <w:gridCol w:w="6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tblHeader/>
        </w:trPr>
        <w:tc>
          <w:tcPr>
            <w:tcW w:w="815" w:type="dxa"/>
            <w:noWrap w:val="0"/>
            <w:vAlign w:val="center"/>
          </w:tcPr>
          <w:p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0" w:name="_Toc9384"/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序号</w:t>
            </w:r>
            <w:bookmarkEnd w:id="0"/>
          </w:p>
        </w:tc>
        <w:tc>
          <w:tcPr>
            <w:tcW w:w="1381" w:type="dxa"/>
            <w:noWrap w:val="0"/>
            <w:vAlign w:val="center"/>
          </w:tcPr>
          <w:p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1" w:name="_Toc14026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项目</w:t>
            </w:r>
            <w:bookmarkEnd w:id="1"/>
          </w:p>
        </w:tc>
        <w:tc>
          <w:tcPr>
            <w:tcW w:w="1374" w:type="dxa"/>
            <w:noWrap w:val="0"/>
            <w:vAlign w:val="center"/>
          </w:tcPr>
          <w:p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2" w:name="_Toc29875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分值</w:t>
            </w:r>
            <w:bookmarkEnd w:id="2"/>
          </w:p>
        </w:tc>
        <w:tc>
          <w:tcPr>
            <w:tcW w:w="6285" w:type="dxa"/>
            <w:noWrap w:val="0"/>
            <w:vAlign w:val="center"/>
          </w:tcPr>
          <w:p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</w:pPr>
            <w:bookmarkStart w:id="3" w:name="_Toc26366"/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8"/>
                <w:szCs w:val="28"/>
                <w:highlight w:val="none"/>
              </w:rPr>
              <w:t>标准</w:t>
            </w:r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dxa"/>
            <w:noWrap w:val="0"/>
            <w:vAlign w:val="center"/>
          </w:tcPr>
          <w:p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280" w:firstLineChars="1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bookmarkStart w:id="4" w:name="_Toc1259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1</w:t>
            </w:r>
            <w:bookmarkEnd w:id="4"/>
          </w:p>
        </w:tc>
        <w:tc>
          <w:tcPr>
            <w:tcW w:w="1381" w:type="dxa"/>
            <w:noWrap w:val="0"/>
            <w:vAlign w:val="center"/>
          </w:tcPr>
          <w:p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bookmarkStart w:id="5" w:name="_Toc1630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报价得分</w:t>
            </w:r>
            <w:bookmarkEnd w:id="5"/>
          </w:p>
        </w:tc>
        <w:tc>
          <w:tcPr>
            <w:tcW w:w="1374" w:type="dxa"/>
            <w:noWrap w:val="0"/>
            <w:vAlign w:val="center"/>
          </w:tcPr>
          <w:p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分</w:t>
            </w:r>
          </w:p>
        </w:tc>
        <w:tc>
          <w:tcPr>
            <w:tcW w:w="6285" w:type="dxa"/>
            <w:noWrap w:val="0"/>
            <w:vAlign w:val="center"/>
          </w:tcPr>
          <w:p>
            <w:pPr>
              <w:pStyle w:val="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）评估基准价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=所有有效报价人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在最高限价9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%—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%（含9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%，含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%）范围内报价的算术平均值；报价在最高限价9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%—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%（含9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%，含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%）范围外的，不参与评标基准价计算。</w:t>
            </w:r>
          </w:p>
          <w:p>
            <w:pPr>
              <w:pStyle w:val="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60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若所有报价均在最高限价9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%—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%（含9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%，含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%）范围外，则评估基准价按最高限价的95%计算。</w:t>
            </w:r>
          </w:p>
          <w:p>
            <w:pPr>
              <w:pStyle w:val="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60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评估基准价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 xml:space="preserve">取整数（以“元”为单位，小数点后第一位四舍五入,第二位及以后不计）。 </w:t>
            </w:r>
          </w:p>
          <w:p>
            <w:pPr>
              <w:pStyle w:val="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）报价得分计算式：</w:t>
            </w:r>
          </w:p>
          <w:p>
            <w:pPr>
              <w:pStyle w:val="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60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报价得分=报价分值满分-（|Ai-评估基准价|÷评估基准价）×100×Q</w:t>
            </w:r>
          </w:p>
          <w:p>
            <w:pPr>
              <w:pStyle w:val="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60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其中，Ai 为各比选申请人的报价；Q为报价每偏离本评估基准价1%的取值：</w:t>
            </w:r>
          </w:p>
          <w:p>
            <w:pPr>
              <w:pStyle w:val="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60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当合格比选申请人的报价≤评估基准价时，Q的取值为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>0.2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pStyle w:val="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60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当合格比选申请人的报价&gt;评估基准价时，Q的取值为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>0.4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。</w:t>
            </w:r>
          </w:p>
          <w:p>
            <w:pPr>
              <w:pStyle w:val="3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60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比选报价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得分小数点后保留两位，第三位“四舍五入”，第四位及以后不计。</w:t>
            </w:r>
          </w:p>
        </w:tc>
      </w:tr>
    </w:tbl>
    <w:p>
      <w:pPr>
        <w:pStyle w:val="21"/>
        <w:jc w:val="both"/>
        <w:outlineLvl w:val="9"/>
        <w:rPr>
          <w:rFonts w:hint="eastAsia" w:ascii="宋体" w:hAnsi="宋体" w:cs="宋体"/>
          <w:b w:val="0"/>
          <w:color w:val="auto"/>
          <w:sz w:val="24"/>
          <w:szCs w:val="24"/>
          <w:highlight w:val="none"/>
        </w:rPr>
      </w:pPr>
    </w:p>
    <w:p>
      <w:pPr>
        <w:rPr>
          <w:rFonts w:hint="eastAsia"/>
        </w:rPr>
      </w:pPr>
    </w:p>
    <w:p>
      <w:pPr>
        <w:pStyle w:val="21"/>
        <w:jc w:val="both"/>
        <w:outlineLvl w:val="9"/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</w:pPr>
      <w:bookmarkStart w:id="6" w:name="_Toc17988"/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第二部分  技术部分</w:t>
      </w:r>
      <w:r>
        <w:rPr>
          <w:rFonts w:hint="eastAsia" w:ascii="宋体" w:hAnsi="宋体" w:cs="宋体"/>
          <w:b/>
          <w:color w:val="auto"/>
          <w:sz w:val="28"/>
          <w:szCs w:val="36"/>
          <w:highlight w:val="none"/>
          <w:lang w:eastAsia="zh-CN"/>
        </w:rPr>
        <w:t>评估标准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  <w:lang w:val="en-US" w:eastAsia="zh-CN"/>
        </w:rPr>
        <w:t>40</w:t>
      </w:r>
      <w:r>
        <w:rPr>
          <w:rFonts w:hint="eastAsia" w:ascii="宋体" w:hAnsi="宋体" w:cs="宋体"/>
          <w:bCs w:val="0"/>
          <w:color w:val="auto"/>
          <w:sz w:val="28"/>
          <w:szCs w:val="28"/>
          <w:highlight w:val="none"/>
        </w:rPr>
        <w:t>分）</w:t>
      </w:r>
      <w:bookmarkEnd w:id="6"/>
    </w:p>
    <w:tbl>
      <w:tblPr>
        <w:tblStyle w:val="22"/>
        <w:tblW w:w="9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357"/>
        <w:gridCol w:w="1389"/>
        <w:gridCol w:w="6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tblHeader/>
          <w:jc w:val="center"/>
        </w:trPr>
        <w:tc>
          <w:tcPr>
            <w:tcW w:w="82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5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项目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分值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restart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35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律师事务所基本情况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10分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A.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根据比选申请人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在服务区域所在地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成立时间情况进行评估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成立时间≥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，得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30年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＞成立时间≥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，得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20年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＞成立时间≥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，得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成立时间＜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10年的，得7分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。</w:t>
            </w:r>
          </w:p>
          <w:p>
            <w:pPr>
              <w:pStyle w:val="3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after="0" w:line="440" w:lineRule="exac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注：以律师事务所登记事项注明批准日期为准。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10分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B.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根据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服务区域所在地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专业律师数量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情况进行评估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律师数量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的，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15人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＞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律师数量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的，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分；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）律师数量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的，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分。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注：须提供律师名单汇总表，表内至少应注明律师姓名、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律师执业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资格证号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，格式自拟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C.根据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律师事务所登记注册地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情况进行评估：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</w:rPr>
              <w:t>注册地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在拟服务单位的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行政区域内得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。</w:t>
            </w:r>
          </w:p>
          <w:p>
            <w:pPr>
              <w:pStyle w:val="6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注：以律师事务所登记事项注明的住所为准。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4分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D.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根据比选申请人自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2015年以来的获奖情况进行评估：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获得国家级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司法部门、律师协会荣誉的，每项得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获得省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级司法部门、律师协会荣誉的，每项得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获得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市级司法部门、律师协会荣誉的，每项得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注：本项满分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4分。须提供荣誉证书复印件。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restart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35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拟派律师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团队情况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8分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E.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根据拟派出本项目律师执业年限情况进行评估：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执业年限≥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10年的，每派出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1人得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10年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＞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执业年限≥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5年的，每派出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1人得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分；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执业年限＜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5年的，每派出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1人得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注：本项满分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8分。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以律师执业证书记载为依据。拟派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出本项目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律师中曾在法院、检察院担任法官、检察官的任职的工作年限，可视同律师执业年限，但需提供相关任职证明文件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F.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根据拟派出本项目律师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具有福建省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律师协会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评定的建筑房地产、公司法专业资格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情况进行评估：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每派出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1人具备上述专业资格的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得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注：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eastAsia="zh-CN"/>
              </w:rPr>
              <w:t>本项满分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2分。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以“拟派出本项目团队情况”中符合比选文件约定的拟派出本项目律师专业资格情况为准。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G.曾在本集团权属企业担任法律顾问（含尚在合同服务期内的）的，每担任一家得1分。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注：本项满分2分。须提供法律顾问服务合同。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2分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H.代理过权属企业案件的，每一案件得0.5分，同一权属企业案件累计得分不超过1分。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8"/>
                <w:szCs w:val="28"/>
                <w:highlight w:val="none"/>
                <w:lang w:val="en-US" w:eastAsia="zh-CN"/>
              </w:rPr>
              <w:t>注：本项满分2分。须提供案件代理合同。</w:t>
            </w:r>
          </w:p>
        </w:tc>
      </w:tr>
    </w:tbl>
    <w:p>
      <w:pPr>
        <w:widowControl/>
        <w:spacing w:line="500" w:lineRule="exact"/>
        <w:ind w:firstLine="480"/>
        <w:jc w:val="left"/>
        <w:rPr>
          <w:rFonts w:hint="eastAsia" w:ascii="宋体" w:hAnsi="宋体" w:cs="宋体"/>
          <w:color w:val="auto"/>
          <w:kern w:val="1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color w:val="auto"/>
          <w:kern w:val="1"/>
          <w:sz w:val="28"/>
          <w:szCs w:val="28"/>
          <w:highlight w:val="none"/>
          <w:lang w:eastAsia="zh-CN"/>
        </w:rPr>
        <w:t>注：以上证明材料均应加盖比选申请人单位公章。</w:t>
      </w:r>
    </w:p>
    <w:p>
      <w:pPr>
        <w:rPr>
          <w:rFonts w:hint="eastAsia"/>
          <w:color w:val="auto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44EAA2"/>
    <w:multiLevelType w:val="singleLevel"/>
    <w:tmpl w:val="A344EAA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B3D14DE"/>
    <w:multiLevelType w:val="singleLevel"/>
    <w:tmpl w:val="BB3D14DE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20469E3C"/>
    <w:multiLevelType w:val="singleLevel"/>
    <w:tmpl w:val="20469E3C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287BA0DE"/>
    <w:multiLevelType w:val="singleLevel"/>
    <w:tmpl w:val="287BA0D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lNzBhNTk0ZmNiNTNlNDBkODhlNTQ3ZDJkZWIxYTU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76E33"/>
    <w:rsid w:val="00291210"/>
    <w:rsid w:val="002C0627"/>
    <w:rsid w:val="002D34A0"/>
    <w:rsid w:val="002D4ED7"/>
    <w:rsid w:val="002E4B02"/>
    <w:rsid w:val="003000D9"/>
    <w:rsid w:val="00311749"/>
    <w:rsid w:val="00321FE8"/>
    <w:rsid w:val="00322902"/>
    <w:rsid w:val="003A03B9"/>
    <w:rsid w:val="00410FE8"/>
    <w:rsid w:val="0048040E"/>
    <w:rsid w:val="004C3FA1"/>
    <w:rsid w:val="004D3F7B"/>
    <w:rsid w:val="004E2611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54DC7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3E7BAC"/>
    <w:rsid w:val="01573C51"/>
    <w:rsid w:val="0184241E"/>
    <w:rsid w:val="018E051B"/>
    <w:rsid w:val="01983D30"/>
    <w:rsid w:val="01CC70CA"/>
    <w:rsid w:val="01FA62F7"/>
    <w:rsid w:val="021E6342"/>
    <w:rsid w:val="0224763D"/>
    <w:rsid w:val="022A6118"/>
    <w:rsid w:val="023E0E6C"/>
    <w:rsid w:val="026517EB"/>
    <w:rsid w:val="02935B81"/>
    <w:rsid w:val="02C76577"/>
    <w:rsid w:val="032416C0"/>
    <w:rsid w:val="03704155"/>
    <w:rsid w:val="037D61DE"/>
    <w:rsid w:val="038C12F2"/>
    <w:rsid w:val="038E00C0"/>
    <w:rsid w:val="03C43707"/>
    <w:rsid w:val="03D459D5"/>
    <w:rsid w:val="03F014FB"/>
    <w:rsid w:val="040F5693"/>
    <w:rsid w:val="045A3333"/>
    <w:rsid w:val="048B68BE"/>
    <w:rsid w:val="04E76BC6"/>
    <w:rsid w:val="04ED380D"/>
    <w:rsid w:val="052A0989"/>
    <w:rsid w:val="054F4E8B"/>
    <w:rsid w:val="05663939"/>
    <w:rsid w:val="05CB22BB"/>
    <w:rsid w:val="05D20B0D"/>
    <w:rsid w:val="062076A3"/>
    <w:rsid w:val="066E1DCB"/>
    <w:rsid w:val="0686237C"/>
    <w:rsid w:val="06E3407D"/>
    <w:rsid w:val="074A53D1"/>
    <w:rsid w:val="07511370"/>
    <w:rsid w:val="0754600F"/>
    <w:rsid w:val="07794418"/>
    <w:rsid w:val="07EB10F5"/>
    <w:rsid w:val="080D0C0C"/>
    <w:rsid w:val="083E084B"/>
    <w:rsid w:val="085728AF"/>
    <w:rsid w:val="085E65C9"/>
    <w:rsid w:val="086C0DBE"/>
    <w:rsid w:val="08872182"/>
    <w:rsid w:val="08D611DD"/>
    <w:rsid w:val="08E93645"/>
    <w:rsid w:val="090511BD"/>
    <w:rsid w:val="09542145"/>
    <w:rsid w:val="09B446FC"/>
    <w:rsid w:val="09BA26D8"/>
    <w:rsid w:val="09E2517C"/>
    <w:rsid w:val="0A043E1E"/>
    <w:rsid w:val="0A185591"/>
    <w:rsid w:val="0A305E02"/>
    <w:rsid w:val="0A4F4DA1"/>
    <w:rsid w:val="0A9C0642"/>
    <w:rsid w:val="0AA73876"/>
    <w:rsid w:val="0AAF1847"/>
    <w:rsid w:val="0ACA48D4"/>
    <w:rsid w:val="0AFF2C5A"/>
    <w:rsid w:val="0B291CB1"/>
    <w:rsid w:val="0B3A2F7B"/>
    <w:rsid w:val="0B3D39AE"/>
    <w:rsid w:val="0B532920"/>
    <w:rsid w:val="0B60187B"/>
    <w:rsid w:val="0B963927"/>
    <w:rsid w:val="0BA63810"/>
    <w:rsid w:val="0BE5379A"/>
    <w:rsid w:val="0C337A49"/>
    <w:rsid w:val="0C602E8E"/>
    <w:rsid w:val="0C8748EC"/>
    <w:rsid w:val="0C9B273C"/>
    <w:rsid w:val="0CD617BA"/>
    <w:rsid w:val="0CEC1E7D"/>
    <w:rsid w:val="0DBA0E95"/>
    <w:rsid w:val="0E4A75B0"/>
    <w:rsid w:val="0E4B355A"/>
    <w:rsid w:val="0EED009A"/>
    <w:rsid w:val="0F0715E2"/>
    <w:rsid w:val="0F0872C9"/>
    <w:rsid w:val="0F875971"/>
    <w:rsid w:val="0F884C14"/>
    <w:rsid w:val="101D08B5"/>
    <w:rsid w:val="10615B33"/>
    <w:rsid w:val="10616ABE"/>
    <w:rsid w:val="10780D3C"/>
    <w:rsid w:val="10857B8E"/>
    <w:rsid w:val="10874459"/>
    <w:rsid w:val="109776BD"/>
    <w:rsid w:val="111156C1"/>
    <w:rsid w:val="111C72EA"/>
    <w:rsid w:val="11853D3E"/>
    <w:rsid w:val="11B570D6"/>
    <w:rsid w:val="11BA5667"/>
    <w:rsid w:val="11D50857"/>
    <w:rsid w:val="12170AB5"/>
    <w:rsid w:val="122E0BB8"/>
    <w:rsid w:val="126D4B8B"/>
    <w:rsid w:val="127759F8"/>
    <w:rsid w:val="1281092F"/>
    <w:rsid w:val="128A74D9"/>
    <w:rsid w:val="12B47BB8"/>
    <w:rsid w:val="12BA1418"/>
    <w:rsid w:val="13007405"/>
    <w:rsid w:val="13164460"/>
    <w:rsid w:val="137F4296"/>
    <w:rsid w:val="13A05904"/>
    <w:rsid w:val="13E63024"/>
    <w:rsid w:val="13EC051C"/>
    <w:rsid w:val="14481E7C"/>
    <w:rsid w:val="15494126"/>
    <w:rsid w:val="157601E9"/>
    <w:rsid w:val="157A71DE"/>
    <w:rsid w:val="159D557B"/>
    <w:rsid w:val="15CC7688"/>
    <w:rsid w:val="15CD72AC"/>
    <w:rsid w:val="162C08A7"/>
    <w:rsid w:val="16665843"/>
    <w:rsid w:val="168D2480"/>
    <w:rsid w:val="16BC2F98"/>
    <w:rsid w:val="16E44C4A"/>
    <w:rsid w:val="16E774B2"/>
    <w:rsid w:val="16E9448F"/>
    <w:rsid w:val="17053F83"/>
    <w:rsid w:val="172B1987"/>
    <w:rsid w:val="17350D9E"/>
    <w:rsid w:val="176E793C"/>
    <w:rsid w:val="17E07241"/>
    <w:rsid w:val="17ED18D3"/>
    <w:rsid w:val="183D0F5D"/>
    <w:rsid w:val="18641DA2"/>
    <w:rsid w:val="186C02C4"/>
    <w:rsid w:val="188134D6"/>
    <w:rsid w:val="18D41847"/>
    <w:rsid w:val="19042D57"/>
    <w:rsid w:val="19650358"/>
    <w:rsid w:val="199402DB"/>
    <w:rsid w:val="1A045DC3"/>
    <w:rsid w:val="1AB408A0"/>
    <w:rsid w:val="1AD913F9"/>
    <w:rsid w:val="1B271289"/>
    <w:rsid w:val="1B7F4659"/>
    <w:rsid w:val="1BD85EAD"/>
    <w:rsid w:val="1C163F95"/>
    <w:rsid w:val="1C355BA8"/>
    <w:rsid w:val="1C420FD5"/>
    <w:rsid w:val="1C540E62"/>
    <w:rsid w:val="1CA86737"/>
    <w:rsid w:val="1CD37CCF"/>
    <w:rsid w:val="1CDB2579"/>
    <w:rsid w:val="1D22009A"/>
    <w:rsid w:val="1D7B3892"/>
    <w:rsid w:val="1D951428"/>
    <w:rsid w:val="1D980F88"/>
    <w:rsid w:val="1D9F6FB2"/>
    <w:rsid w:val="1DA049B7"/>
    <w:rsid w:val="1DE30541"/>
    <w:rsid w:val="1DEB07C1"/>
    <w:rsid w:val="1E032835"/>
    <w:rsid w:val="1E617AE2"/>
    <w:rsid w:val="1EAC5A17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1C126D0"/>
    <w:rsid w:val="22062547"/>
    <w:rsid w:val="22256FC9"/>
    <w:rsid w:val="22296F81"/>
    <w:rsid w:val="225455D2"/>
    <w:rsid w:val="22837B15"/>
    <w:rsid w:val="22996B94"/>
    <w:rsid w:val="229D303A"/>
    <w:rsid w:val="231150AD"/>
    <w:rsid w:val="235A6AF5"/>
    <w:rsid w:val="23D408C6"/>
    <w:rsid w:val="23DC6E7B"/>
    <w:rsid w:val="24880BC7"/>
    <w:rsid w:val="24912155"/>
    <w:rsid w:val="249146F7"/>
    <w:rsid w:val="24EC13C2"/>
    <w:rsid w:val="250F17C5"/>
    <w:rsid w:val="252C1E57"/>
    <w:rsid w:val="257B0F03"/>
    <w:rsid w:val="25A716A7"/>
    <w:rsid w:val="25CE327D"/>
    <w:rsid w:val="25DC01E3"/>
    <w:rsid w:val="25E01DCC"/>
    <w:rsid w:val="26143832"/>
    <w:rsid w:val="262D044F"/>
    <w:rsid w:val="26824487"/>
    <w:rsid w:val="26923660"/>
    <w:rsid w:val="269B185D"/>
    <w:rsid w:val="277F1F7D"/>
    <w:rsid w:val="278B7B24"/>
    <w:rsid w:val="281715D5"/>
    <w:rsid w:val="28502F16"/>
    <w:rsid w:val="28650AED"/>
    <w:rsid w:val="288053A3"/>
    <w:rsid w:val="2890022F"/>
    <w:rsid w:val="28BE6159"/>
    <w:rsid w:val="28C73BFC"/>
    <w:rsid w:val="28C76D08"/>
    <w:rsid w:val="28EC52C5"/>
    <w:rsid w:val="290B3208"/>
    <w:rsid w:val="291C3242"/>
    <w:rsid w:val="29475192"/>
    <w:rsid w:val="29834F41"/>
    <w:rsid w:val="29981286"/>
    <w:rsid w:val="29EF14AD"/>
    <w:rsid w:val="29F00112"/>
    <w:rsid w:val="2A04596B"/>
    <w:rsid w:val="2A336FAE"/>
    <w:rsid w:val="2A704DAF"/>
    <w:rsid w:val="2A705FFA"/>
    <w:rsid w:val="2AC23143"/>
    <w:rsid w:val="2ADB405B"/>
    <w:rsid w:val="2AF22485"/>
    <w:rsid w:val="2B040F10"/>
    <w:rsid w:val="2B154939"/>
    <w:rsid w:val="2B1D3BDB"/>
    <w:rsid w:val="2B5F657F"/>
    <w:rsid w:val="2BB77424"/>
    <w:rsid w:val="2BF22CB5"/>
    <w:rsid w:val="2C0003B4"/>
    <w:rsid w:val="2C4B08A3"/>
    <w:rsid w:val="2C7E592F"/>
    <w:rsid w:val="2CD55510"/>
    <w:rsid w:val="2CEF3DFC"/>
    <w:rsid w:val="2D205DC6"/>
    <w:rsid w:val="2D7C3427"/>
    <w:rsid w:val="2DE50457"/>
    <w:rsid w:val="2E7B13E8"/>
    <w:rsid w:val="2EA4738B"/>
    <w:rsid w:val="2EF1598B"/>
    <w:rsid w:val="2EF5005C"/>
    <w:rsid w:val="2EF90493"/>
    <w:rsid w:val="2F2F1E84"/>
    <w:rsid w:val="2F610283"/>
    <w:rsid w:val="2F634EE2"/>
    <w:rsid w:val="2FBC28E3"/>
    <w:rsid w:val="2FC00212"/>
    <w:rsid w:val="2FF45B24"/>
    <w:rsid w:val="30395B96"/>
    <w:rsid w:val="306F3396"/>
    <w:rsid w:val="307D747E"/>
    <w:rsid w:val="309F44FF"/>
    <w:rsid w:val="30BB1E83"/>
    <w:rsid w:val="30E4079A"/>
    <w:rsid w:val="31655B0D"/>
    <w:rsid w:val="316F36A1"/>
    <w:rsid w:val="31A579E7"/>
    <w:rsid w:val="31A90F01"/>
    <w:rsid w:val="31B81BE5"/>
    <w:rsid w:val="31C86BDA"/>
    <w:rsid w:val="31FA7F8F"/>
    <w:rsid w:val="32396F25"/>
    <w:rsid w:val="32537C5D"/>
    <w:rsid w:val="327D275F"/>
    <w:rsid w:val="32E43941"/>
    <w:rsid w:val="33502D99"/>
    <w:rsid w:val="337F0F1C"/>
    <w:rsid w:val="34017DC6"/>
    <w:rsid w:val="34181F9A"/>
    <w:rsid w:val="342530EF"/>
    <w:rsid w:val="34580D8D"/>
    <w:rsid w:val="34782B6D"/>
    <w:rsid w:val="34886716"/>
    <w:rsid w:val="34DF18A1"/>
    <w:rsid w:val="34E07E4F"/>
    <w:rsid w:val="35247985"/>
    <w:rsid w:val="358E1178"/>
    <w:rsid w:val="35A61FCC"/>
    <w:rsid w:val="35C80E21"/>
    <w:rsid w:val="36000FDB"/>
    <w:rsid w:val="36273670"/>
    <w:rsid w:val="367A4A92"/>
    <w:rsid w:val="369650CA"/>
    <w:rsid w:val="36A5476B"/>
    <w:rsid w:val="36B01F28"/>
    <w:rsid w:val="36E07893"/>
    <w:rsid w:val="372C24FB"/>
    <w:rsid w:val="37375C96"/>
    <w:rsid w:val="37460BB1"/>
    <w:rsid w:val="37466809"/>
    <w:rsid w:val="378D360F"/>
    <w:rsid w:val="37DB262D"/>
    <w:rsid w:val="381A0ED8"/>
    <w:rsid w:val="384A5F26"/>
    <w:rsid w:val="38613DFE"/>
    <w:rsid w:val="387A017F"/>
    <w:rsid w:val="388A2D94"/>
    <w:rsid w:val="38997BC6"/>
    <w:rsid w:val="38CE2BD5"/>
    <w:rsid w:val="38DF1EBC"/>
    <w:rsid w:val="38E5481F"/>
    <w:rsid w:val="38FB262F"/>
    <w:rsid w:val="39430C4F"/>
    <w:rsid w:val="3965551F"/>
    <w:rsid w:val="3995213C"/>
    <w:rsid w:val="39992D4F"/>
    <w:rsid w:val="399B1E31"/>
    <w:rsid w:val="39DD11A6"/>
    <w:rsid w:val="3A25349F"/>
    <w:rsid w:val="3A6B7341"/>
    <w:rsid w:val="3A6E6813"/>
    <w:rsid w:val="3ACD7AE4"/>
    <w:rsid w:val="3ADF033F"/>
    <w:rsid w:val="3AE27603"/>
    <w:rsid w:val="3AEF3ACE"/>
    <w:rsid w:val="3B0E6FA8"/>
    <w:rsid w:val="3B293089"/>
    <w:rsid w:val="3B3F55B8"/>
    <w:rsid w:val="3B44358E"/>
    <w:rsid w:val="3B8B22B1"/>
    <w:rsid w:val="3B8B6671"/>
    <w:rsid w:val="3BCD02B3"/>
    <w:rsid w:val="3BCF6241"/>
    <w:rsid w:val="3C00782B"/>
    <w:rsid w:val="3C3605B2"/>
    <w:rsid w:val="3C4F4AEE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6A5F84"/>
    <w:rsid w:val="3D6C58AA"/>
    <w:rsid w:val="3D807BF4"/>
    <w:rsid w:val="3DCC6348"/>
    <w:rsid w:val="3E057757"/>
    <w:rsid w:val="3E0C562A"/>
    <w:rsid w:val="3E223293"/>
    <w:rsid w:val="3E9E427D"/>
    <w:rsid w:val="3EB66CCD"/>
    <w:rsid w:val="3ED52753"/>
    <w:rsid w:val="3EE15E23"/>
    <w:rsid w:val="3F0C0417"/>
    <w:rsid w:val="3F1A64DC"/>
    <w:rsid w:val="3F826E18"/>
    <w:rsid w:val="402D47C9"/>
    <w:rsid w:val="403F4AE2"/>
    <w:rsid w:val="404C7FFE"/>
    <w:rsid w:val="40676A47"/>
    <w:rsid w:val="41577B5D"/>
    <w:rsid w:val="415E7BFF"/>
    <w:rsid w:val="41EC33D7"/>
    <w:rsid w:val="4222708E"/>
    <w:rsid w:val="426506CF"/>
    <w:rsid w:val="42674D95"/>
    <w:rsid w:val="4280657F"/>
    <w:rsid w:val="42E10B89"/>
    <w:rsid w:val="430E32EE"/>
    <w:rsid w:val="43443D72"/>
    <w:rsid w:val="434877D8"/>
    <w:rsid w:val="434F03DE"/>
    <w:rsid w:val="43936CA2"/>
    <w:rsid w:val="43B808F8"/>
    <w:rsid w:val="44F96048"/>
    <w:rsid w:val="45225864"/>
    <w:rsid w:val="45284A0F"/>
    <w:rsid w:val="453A07C4"/>
    <w:rsid w:val="45412BC0"/>
    <w:rsid w:val="45564F08"/>
    <w:rsid w:val="455F1BA2"/>
    <w:rsid w:val="458539AC"/>
    <w:rsid w:val="4592653B"/>
    <w:rsid w:val="45F35D2E"/>
    <w:rsid w:val="46841EB6"/>
    <w:rsid w:val="46963A2E"/>
    <w:rsid w:val="469837E9"/>
    <w:rsid w:val="469E7DA3"/>
    <w:rsid w:val="46A0188F"/>
    <w:rsid w:val="46F71824"/>
    <w:rsid w:val="472F6B34"/>
    <w:rsid w:val="473F5DDD"/>
    <w:rsid w:val="47415DF9"/>
    <w:rsid w:val="476A1887"/>
    <w:rsid w:val="476D241D"/>
    <w:rsid w:val="47825B3E"/>
    <w:rsid w:val="480D3C37"/>
    <w:rsid w:val="48187A34"/>
    <w:rsid w:val="484256D6"/>
    <w:rsid w:val="48885DB2"/>
    <w:rsid w:val="48934611"/>
    <w:rsid w:val="48BD64DD"/>
    <w:rsid w:val="494B3E8B"/>
    <w:rsid w:val="499D2C3B"/>
    <w:rsid w:val="49A63EF1"/>
    <w:rsid w:val="49CD6F1D"/>
    <w:rsid w:val="49D70C24"/>
    <w:rsid w:val="4A617E1F"/>
    <w:rsid w:val="4AB93531"/>
    <w:rsid w:val="4ACC6915"/>
    <w:rsid w:val="4B90372D"/>
    <w:rsid w:val="4BB7538F"/>
    <w:rsid w:val="4BD25472"/>
    <w:rsid w:val="4C63474C"/>
    <w:rsid w:val="4C657056"/>
    <w:rsid w:val="4D122BF3"/>
    <w:rsid w:val="4D1B0752"/>
    <w:rsid w:val="4D1B218F"/>
    <w:rsid w:val="4D5F2D35"/>
    <w:rsid w:val="4D764FBA"/>
    <w:rsid w:val="4D766398"/>
    <w:rsid w:val="4D7A44C1"/>
    <w:rsid w:val="4DD4528D"/>
    <w:rsid w:val="4DE65AF2"/>
    <w:rsid w:val="4DF24E96"/>
    <w:rsid w:val="4E010DC6"/>
    <w:rsid w:val="4E2E4D08"/>
    <w:rsid w:val="4E34027E"/>
    <w:rsid w:val="4E556D64"/>
    <w:rsid w:val="4E5A7C30"/>
    <w:rsid w:val="4E8932F2"/>
    <w:rsid w:val="4E8D38D2"/>
    <w:rsid w:val="4E9C24FE"/>
    <w:rsid w:val="4EC024EA"/>
    <w:rsid w:val="4ECF13C9"/>
    <w:rsid w:val="4ED225C5"/>
    <w:rsid w:val="4F084914"/>
    <w:rsid w:val="4F665D41"/>
    <w:rsid w:val="4F720CD1"/>
    <w:rsid w:val="4F8F63DD"/>
    <w:rsid w:val="4F9E3301"/>
    <w:rsid w:val="4F9F16E2"/>
    <w:rsid w:val="4FBB0C02"/>
    <w:rsid w:val="4FD2359B"/>
    <w:rsid w:val="4FF537B6"/>
    <w:rsid w:val="502B5150"/>
    <w:rsid w:val="50674285"/>
    <w:rsid w:val="5069710A"/>
    <w:rsid w:val="50A4750D"/>
    <w:rsid w:val="50A84714"/>
    <w:rsid w:val="50E6602D"/>
    <w:rsid w:val="50FE0569"/>
    <w:rsid w:val="51510BE7"/>
    <w:rsid w:val="51592A60"/>
    <w:rsid w:val="51744496"/>
    <w:rsid w:val="522A1B75"/>
    <w:rsid w:val="52322221"/>
    <w:rsid w:val="5254404C"/>
    <w:rsid w:val="526A015C"/>
    <w:rsid w:val="52902C3D"/>
    <w:rsid w:val="529B3314"/>
    <w:rsid w:val="534D59E4"/>
    <w:rsid w:val="53744FA3"/>
    <w:rsid w:val="539F391C"/>
    <w:rsid w:val="53FD32A8"/>
    <w:rsid w:val="54813DAD"/>
    <w:rsid w:val="54A31759"/>
    <w:rsid w:val="54AC77F1"/>
    <w:rsid w:val="54B13489"/>
    <w:rsid w:val="54FE5AC0"/>
    <w:rsid w:val="55086E0C"/>
    <w:rsid w:val="552223D9"/>
    <w:rsid w:val="552246F8"/>
    <w:rsid w:val="552763E6"/>
    <w:rsid w:val="55396617"/>
    <w:rsid w:val="55D2387C"/>
    <w:rsid w:val="55F42D22"/>
    <w:rsid w:val="55F459D8"/>
    <w:rsid w:val="56377C2D"/>
    <w:rsid w:val="56771FE4"/>
    <w:rsid w:val="574716A2"/>
    <w:rsid w:val="57672DA3"/>
    <w:rsid w:val="576A2D9C"/>
    <w:rsid w:val="57A50805"/>
    <w:rsid w:val="57CB3320"/>
    <w:rsid w:val="57FB0599"/>
    <w:rsid w:val="57FF0273"/>
    <w:rsid w:val="58071B12"/>
    <w:rsid w:val="58130E52"/>
    <w:rsid w:val="58175842"/>
    <w:rsid w:val="583B688C"/>
    <w:rsid w:val="583C5D29"/>
    <w:rsid w:val="584E52CF"/>
    <w:rsid w:val="58B513C4"/>
    <w:rsid w:val="58E10F36"/>
    <w:rsid w:val="58E3423C"/>
    <w:rsid w:val="595079D6"/>
    <w:rsid w:val="59AB3EE0"/>
    <w:rsid w:val="59BA1FB3"/>
    <w:rsid w:val="59BE7035"/>
    <w:rsid w:val="59E85D72"/>
    <w:rsid w:val="5A087337"/>
    <w:rsid w:val="5A1E693A"/>
    <w:rsid w:val="5ABA1F30"/>
    <w:rsid w:val="5AE05F3C"/>
    <w:rsid w:val="5AEF404F"/>
    <w:rsid w:val="5B2113F2"/>
    <w:rsid w:val="5B5163B3"/>
    <w:rsid w:val="5B5F7A7D"/>
    <w:rsid w:val="5B7C4516"/>
    <w:rsid w:val="5B81355C"/>
    <w:rsid w:val="5BAE1F98"/>
    <w:rsid w:val="5BE7521A"/>
    <w:rsid w:val="5C145564"/>
    <w:rsid w:val="5C3D6970"/>
    <w:rsid w:val="5C404E42"/>
    <w:rsid w:val="5C7C0C62"/>
    <w:rsid w:val="5C977B74"/>
    <w:rsid w:val="5CF123E7"/>
    <w:rsid w:val="5D487528"/>
    <w:rsid w:val="5D5C5063"/>
    <w:rsid w:val="5D6B4E4A"/>
    <w:rsid w:val="5E1169B2"/>
    <w:rsid w:val="5E30163C"/>
    <w:rsid w:val="5E394ED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C07731"/>
    <w:rsid w:val="5FD760B4"/>
    <w:rsid w:val="5FDC36B2"/>
    <w:rsid w:val="60125EE4"/>
    <w:rsid w:val="604D0DD3"/>
    <w:rsid w:val="60624750"/>
    <w:rsid w:val="60655CC8"/>
    <w:rsid w:val="60BB5DFC"/>
    <w:rsid w:val="60CC1907"/>
    <w:rsid w:val="60DA0BF8"/>
    <w:rsid w:val="60E03D35"/>
    <w:rsid w:val="60F74DA0"/>
    <w:rsid w:val="61026996"/>
    <w:rsid w:val="610D6006"/>
    <w:rsid w:val="61245746"/>
    <w:rsid w:val="61710B30"/>
    <w:rsid w:val="617D634E"/>
    <w:rsid w:val="61BA138B"/>
    <w:rsid w:val="61E91312"/>
    <w:rsid w:val="621023F8"/>
    <w:rsid w:val="62326812"/>
    <w:rsid w:val="62B60D78"/>
    <w:rsid w:val="62D91138"/>
    <w:rsid w:val="62EF6B8B"/>
    <w:rsid w:val="63253C81"/>
    <w:rsid w:val="633F33D0"/>
    <w:rsid w:val="634342A2"/>
    <w:rsid w:val="638F06B9"/>
    <w:rsid w:val="63A937FE"/>
    <w:rsid w:val="63AF1104"/>
    <w:rsid w:val="64343DCD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8862CB"/>
    <w:rsid w:val="66F35AF0"/>
    <w:rsid w:val="68041EDA"/>
    <w:rsid w:val="6805480F"/>
    <w:rsid w:val="68205F11"/>
    <w:rsid w:val="6826671D"/>
    <w:rsid w:val="68303C5A"/>
    <w:rsid w:val="68761B03"/>
    <w:rsid w:val="6884144A"/>
    <w:rsid w:val="689B2842"/>
    <w:rsid w:val="68DA0C52"/>
    <w:rsid w:val="68DC3034"/>
    <w:rsid w:val="692929C9"/>
    <w:rsid w:val="6949691B"/>
    <w:rsid w:val="695E42D4"/>
    <w:rsid w:val="69B044C2"/>
    <w:rsid w:val="6A10568B"/>
    <w:rsid w:val="6B1C336D"/>
    <w:rsid w:val="6B3F31FC"/>
    <w:rsid w:val="6B520650"/>
    <w:rsid w:val="6C150C79"/>
    <w:rsid w:val="6C2F4CB4"/>
    <w:rsid w:val="6C572194"/>
    <w:rsid w:val="6C733C7B"/>
    <w:rsid w:val="6CC91B21"/>
    <w:rsid w:val="6CCB7AE7"/>
    <w:rsid w:val="6D040B37"/>
    <w:rsid w:val="6D2A440F"/>
    <w:rsid w:val="6D975C3C"/>
    <w:rsid w:val="6DC76831"/>
    <w:rsid w:val="6DF42310"/>
    <w:rsid w:val="6E3F2917"/>
    <w:rsid w:val="6EBF08CD"/>
    <w:rsid w:val="6EF357A9"/>
    <w:rsid w:val="6F03410B"/>
    <w:rsid w:val="6F122D5A"/>
    <w:rsid w:val="6F4E2668"/>
    <w:rsid w:val="6F51652A"/>
    <w:rsid w:val="6F5F0058"/>
    <w:rsid w:val="6F62065F"/>
    <w:rsid w:val="6F6D70DC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58281D"/>
    <w:rsid w:val="725B7261"/>
    <w:rsid w:val="72631EC7"/>
    <w:rsid w:val="72641D42"/>
    <w:rsid w:val="72731008"/>
    <w:rsid w:val="72911492"/>
    <w:rsid w:val="73123AD6"/>
    <w:rsid w:val="737F06A0"/>
    <w:rsid w:val="73832D6F"/>
    <w:rsid w:val="73F21C7A"/>
    <w:rsid w:val="7416093F"/>
    <w:rsid w:val="74485B85"/>
    <w:rsid w:val="74BC6782"/>
    <w:rsid w:val="74C94DB4"/>
    <w:rsid w:val="74E117DE"/>
    <w:rsid w:val="7504558C"/>
    <w:rsid w:val="7512724A"/>
    <w:rsid w:val="75175073"/>
    <w:rsid w:val="752E6832"/>
    <w:rsid w:val="754B0FDA"/>
    <w:rsid w:val="754C32EF"/>
    <w:rsid w:val="755248A6"/>
    <w:rsid w:val="7552615C"/>
    <w:rsid w:val="75682860"/>
    <w:rsid w:val="757565AD"/>
    <w:rsid w:val="75CB3BC5"/>
    <w:rsid w:val="761E4C8C"/>
    <w:rsid w:val="76417AD8"/>
    <w:rsid w:val="7690109D"/>
    <w:rsid w:val="76D4264E"/>
    <w:rsid w:val="76F45266"/>
    <w:rsid w:val="772B4004"/>
    <w:rsid w:val="77E410F3"/>
    <w:rsid w:val="786A2E5E"/>
    <w:rsid w:val="78BB6162"/>
    <w:rsid w:val="78C92514"/>
    <w:rsid w:val="78F93092"/>
    <w:rsid w:val="796A38C5"/>
    <w:rsid w:val="7998772B"/>
    <w:rsid w:val="79E815A7"/>
    <w:rsid w:val="79F40A78"/>
    <w:rsid w:val="7A413658"/>
    <w:rsid w:val="7A7D22BB"/>
    <w:rsid w:val="7AAB5D93"/>
    <w:rsid w:val="7AD271DB"/>
    <w:rsid w:val="7ADF3975"/>
    <w:rsid w:val="7B242537"/>
    <w:rsid w:val="7B310FBD"/>
    <w:rsid w:val="7BA32DC7"/>
    <w:rsid w:val="7BAB6FC2"/>
    <w:rsid w:val="7BCB60E0"/>
    <w:rsid w:val="7BD14F61"/>
    <w:rsid w:val="7BDE5535"/>
    <w:rsid w:val="7C0C3ED0"/>
    <w:rsid w:val="7C1F4015"/>
    <w:rsid w:val="7C3255A3"/>
    <w:rsid w:val="7C5A2FDE"/>
    <w:rsid w:val="7C63220F"/>
    <w:rsid w:val="7CA35578"/>
    <w:rsid w:val="7CA51274"/>
    <w:rsid w:val="7D020CA4"/>
    <w:rsid w:val="7D1E04AA"/>
    <w:rsid w:val="7D2F6B86"/>
    <w:rsid w:val="7D4C0957"/>
    <w:rsid w:val="7DF033B2"/>
    <w:rsid w:val="7E0E6006"/>
    <w:rsid w:val="7E5C7CF2"/>
    <w:rsid w:val="7EFE1A9D"/>
    <w:rsid w:val="7F1F5DDE"/>
    <w:rsid w:val="7F2805F8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5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6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7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4">
    <w:name w:val="Default Paragraph Font"/>
    <w:unhideWhenUsed/>
    <w:qFormat/>
    <w:uiPriority w:val="1"/>
  </w:style>
  <w:style w:type="table" w:default="1" w:styleId="2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3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customStyle="1" w:styleId="4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styleId="8">
    <w:name w:val="Normal Indent"/>
    <w:basedOn w:val="1"/>
    <w:qFormat/>
    <w:uiPriority w:val="0"/>
    <w:pPr>
      <w:ind w:firstLine="420"/>
    </w:pPr>
  </w:style>
  <w:style w:type="paragraph" w:styleId="9">
    <w:name w:val="annotation text"/>
    <w:basedOn w:val="1"/>
    <w:unhideWhenUsed/>
    <w:qFormat/>
    <w:uiPriority w:val="99"/>
    <w:pPr>
      <w:jc w:val="left"/>
    </w:pPr>
  </w:style>
  <w:style w:type="paragraph" w:styleId="10">
    <w:name w:val="Body Text"/>
    <w:basedOn w:val="1"/>
    <w:next w:val="11"/>
    <w:qFormat/>
    <w:uiPriority w:val="0"/>
    <w:pPr>
      <w:spacing w:line="380" w:lineRule="exact"/>
    </w:pPr>
    <w:rPr>
      <w:sz w:val="24"/>
    </w:rPr>
  </w:style>
  <w:style w:type="paragraph" w:styleId="11">
    <w:name w:val="Body Text First Indent"/>
    <w:basedOn w:val="10"/>
    <w:next w:val="12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2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4">
    <w:name w:val="Balloon Text"/>
    <w:basedOn w:val="1"/>
    <w:link w:val="36"/>
    <w:unhideWhenUsed/>
    <w:qFormat/>
    <w:uiPriority w:val="99"/>
    <w:rPr>
      <w:sz w:val="18"/>
      <w:szCs w:val="18"/>
    </w:rPr>
  </w:style>
  <w:style w:type="paragraph" w:styleId="15">
    <w:name w:val="footer"/>
    <w:basedOn w:val="1"/>
    <w:link w:val="3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1"/>
    <w:link w:val="3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8">
    <w:name w:val="Subtitle"/>
    <w:basedOn w:val="1"/>
    <w:next w:val="1"/>
    <w:link w:val="53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9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1">
    <w:name w:val="Title"/>
    <w:basedOn w:val="1"/>
    <w:next w:val="1"/>
    <w:link w:val="52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table" w:styleId="23">
    <w:name w:val="Table Grid"/>
    <w:basedOn w:val="2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FollowedHyperlink"/>
    <w:basedOn w:val="24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4"/>
    <w:qFormat/>
    <w:uiPriority w:val="20"/>
  </w:style>
  <w:style w:type="character" w:styleId="27">
    <w:name w:val="HTML Definition"/>
    <w:basedOn w:val="24"/>
    <w:unhideWhenUsed/>
    <w:qFormat/>
    <w:uiPriority w:val="99"/>
  </w:style>
  <w:style w:type="character" w:styleId="28">
    <w:name w:val="HTML Variable"/>
    <w:basedOn w:val="24"/>
    <w:unhideWhenUsed/>
    <w:qFormat/>
    <w:uiPriority w:val="99"/>
  </w:style>
  <w:style w:type="character" w:styleId="29">
    <w:name w:val="Hyperlink"/>
    <w:basedOn w:val="24"/>
    <w:unhideWhenUsed/>
    <w:qFormat/>
    <w:uiPriority w:val="99"/>
    <w:rPr>
      <w:color w:val="0000FF"/>
      <w:u w:val="single"/>
    </w:rPr>
  </w:style>
  <w:style w:type="character" w:styleId="30">
    <w:name w:val="HTML Code"/>
    <w:basedOn w:val="24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4"/>
    <w:unhideWhenUsed/>
    <w:qFormat/>
    <w:uiPriority w:val="99"/>
  </w:style>
  <w:style w:type="paragraph" w:customStyle="1" w:styleId="32">
    <w:name w:val="表格文字"/>
    <w:basedOn w:val="1"/>
    <w:next w:val="10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character" w:customStyle="1" w:styleId="33">
    <w:name w:val="页眉 Char"/>
    <w:basedOn w:val="24"/>
    <w:link w:val="16"/>
    <w:qFormat/>
    <w:uiPriority w:val="99"/>
    <w:rPr>
      <w:sz w:val="18"/>
      <w:szCs w:val="18"/>
    </w:rPr>
  </w:style>
  <w:style w:type="character" w:customStyle="1" w:styleId="34">
    <w:name w:val="页脚 Char"/>
    <w:basedOn w:val="24"/>
    <w:link w:val="15"/>
    <w:qFormat/>
    <w:uiPriority w:val="99"/>
    <w:rPr>
      <w:sz w:val="18"/>
      <w:szCs w:val="18"/>
    </w:rPr>
  </w:style>
  <w:style w:type="character" w:customStyle="1" w:styleId="35">
    <w:name w:val="font31"/>
    <w:basedOn w:val="24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6">
    <w:name w:val="批注框文本 Char"/>
    <w:basedOn w:val="24"/>
    <w:link w:val="14"/>
    <w:semiHidden/>
    <w:qFormat/>
    <w:uiPriority w:val="99"/>
    <w:rPr>
      <w:kern w:val="2"/>
      <w:sz w:val="18"/>
      <w:szCs w:val="18"/>
    </w:rPr>
  </w:style>
  <w:style w:type="paragraph" w:customStyle="1" w:styleId="37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">
    <w:name w:val="正文缩进_0"/>
    <w:basedOn w:val="37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9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0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1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缩进_0_0"/>
    <w:basedOn w:val="44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4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6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正文缩进_2"/>
    <w:basedOn w:val="46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8">
    <w:name w:val="hover5"/>
    <w:basedOn w:val="24"/>
    <w:qFormat/>
    <w:uiPriority w:val="0"/>
  </w:style>
  <w:style w:type="paragraph" w:customStyle="1" w:styleId="49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50">
    <w:name w:val="_Style 5"/>
    <w:basedOn w:val="5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1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2">
    <w:name w:val="标题 Char"/>
    <w:link w:val="21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3">
    <w:name w:val="副标题 Char"/>
    <w:link w:val="18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5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val="none" w:color="000000"/>
      <w:lang w:val="en-US" w:eastAsia="zh-CN" w:bidi="ar-SA"/>
    </w:rPr>
  </w:style>
  <w:style w:type="character" w:customStyle="1" w:styleId="56">
    <w:name w:val="无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18</Pages>
  <Words>6251</Words>
  <Characters>6364</Characters>
  <Lines>16</Lines>
  <Paragraphs>4</Paragraphs>
  <TotalTime>2</TotalTime>
  <ScaleCrop>false</ScaleCrop>
  <LinksUpToDate>false</LinksUpToDate>
  <CharactersWithSpaces>7210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NTKO</cp:lastModifiedBy>
  <cp:lastPrinted>2023-05-17T01:05:00Z</cp:lastPrinted>
  <dcterms:modified xsi:type="dcterms:W3CDTF">2023-05-17T01:14:54Z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6A9FE29B3E474A9DB678FE65909A52E0_13</vt:lpwstr>
  </property>
</Properties>
</file>