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7527770D">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三明市兴东市场开发有限公司</w:t>
      </w:r>
      <w:r>
        <w:rPr>
          <w:rFonts w:hint="eastAsia"/>
          <w:color w:val="auto"/>
          <w:highlight w:val="none"/>
        </w:rPr>
        <w:t>（比选人）：</w:t>
      </w:r>
    </w:p>
    <w:p w14:paraId="5BFC80FD">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三明市兴东市场开发有限公司屋顶光伏及新能源汽车充电站招商项目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三明市兴东市场开发有限公司屋顶光伏及新能源汽车充电站招商项目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7B33BFDA">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19E15F73">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业绩证明材料</w:t>
      </w:r>
      <w:r>
        <w:rPr>
          <w:rFonts w:hint="eastAsia"/>
          <w:i w:val="0"/>
          <w:iCs w:val="0"/>
          <w:color w:val="auto"/>
          <w:highlight w:val="none"/>
          <w:lang w:eastAsia="zh-CN"/>
        </w:rPr>
        <w:t>。</w:t>
      </w:r>
    </w:p>
    <w:p w14:paraId="6465F332">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9"/>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9"/>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9"/>
              <w:jc w:val="center"/>
              <w:rPr>
                <w:rFonts w:hint="eastAsia" w:ascii="宋体" w:cs="仿宋_GB2312"/>
                <w:color w:val="auto"/>
                <w:spacing w:val="14"/>
                <w:szCs w:val="21"/>
                <w:highlight w:val="none"/>
              </w:rPr>
            </w:pPr>
          </w:p>
        </w:tc>
        <w:tc>
          <w:tcPr>
            <w:tcW w:w="1440" w:type="dxa"/>
            <w:noWrap w:val="0"/>
            <w:vAlign w:val="center"/>
          </w:tcPr>
          <w:p w14:paraId="760B961A">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9"/>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9"/>
              <w:jc w:val="center"/>
              <w:rPr>
                <w:rFonts w:hint="eastAsia" w:ascii="宋体" w:cs="仿宋_GB2312"/>
                <w:color w:val="auto"/>
                <w:spacing w:val="14"/>
                <w:szCs w:val="21"/>
                <w:highlight w:val="none"/>
              </w:rPr>
            </w:pPr>
          </w:p>
        </w:tc>
        <w:tc>
          <w:tcPr>
            <w:tcW w:w="1440" w:type="dxa"/>
            <w:noWrap w:val="0"/>
            <w:vAlign w:val="center"/>
          </w:tcPr>
          <w:p w14:paraId="0B18085E">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9"/>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9"/>
              <w:jc w:val="center"/>
              <w:rPr>
                <w:rFonts w:hint="eastAsia" w:ascii="宋体" w:cs="仿宋_GB2312"/>
                <w:color w:val="auto"/>
                <w:spacing w:val="14"/>
                <w:szCs w:val="21"/>
                <w:highlight w:val="none"/>
              </w:rPr>
            </w:pPr>
          </w:p>
        </w:tc>
        <w:tc>
          <w:tcPr>
            <w:tcW w:w="1440" w:type="dxa"/>
            <w:noWrap w:val="0"/>
            <w:vAlign w:val="center"/>
          </w:tcPr>
          <w:p w14:paraId="7638FBF7">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9"/>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9"/>
              <w:jc w:val="center"/>
              <w:rPr>
                <w:rFonts w:hint="eastAsia" w:ascii="宋体" w:cs="仿宋_GB2312"/>
                <w:color w:val="auto"/>
                <w:spacing w:val="14"/>
                <w:szCs w:val="21"/>
                <w:highlight w:val="none"/>
              </w:rPr>
            </w:pPr>
          </w:p>
        </w:tc>
        <w:tc>
          <w:tcPr>
            <w:tcW w:w="1440" w:type="dxa"/>
            <w:noWrap w:val="0"/>
            <w:vAlign w:val="center"/>
          </w:tcPr>
          <w:p w14:paraId="2AFDA817">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9"/>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9"/>
              <w:rPr>
                <w:rFonts w:hint="eastAsia" w:ascii="宋体" w:cs="仿宋_GB2312"/>
                <w:color w:val="auto"/>
                <w:spacing w:val="14"/>
                <w:szCs w:val="21"/>
                <w:highlight w:val="none"/>
              </w:rPr>
            </w:pPr>
          </w:p>
          <w:p w14:paraId="284038C2">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9"/>
        <w:rPr>
          <w:rFonts w:hint="eastAsia" w:ascii="宋体" w:cs="仿宋_GB2312"/>
          <w:color w:val="auto"/>
          <w:spacing w:val="14"/>
          <w:sz w:val="24"/>
          <w:highlight w:val="none"/>
        </w:rPr>
      </w:pPr>
    </w:p>
    <w:p w14:paraId="2CAAD86A">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4EFA9D48">
      <w:pPr>
        <w:pStyle w:val="2"/>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6"/>
        <w:shd w:val="clear" w:color="auto" w:fill="FFFFFF"/>
        <w:spacing w:before="0" w:beforeAutospacing="0" w:after="0" w:afterAutospacing="0" w:line="560" w:lineRule="atLeast"/>
        <w:ind w:firstLine="640"/>
        <w:rPr>
          <w:color w:val="auto"/>
          <w:highlight w:val="none"/>
          <w:shd w:val="clear" w:color="auto" w:fill="FFFFFF"/>
        </w:rPr>
      </w:pPr>
    </w:p>
    <w:p w14:paraId="2E988B75">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6"/>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6"/>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10E17CD0">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7D5711F3">
      <w:pPr>
        <w:rPr>
          <w:rFonts w:hint="eastAsia" w:ascii="黑体" w:hAnsi="黑体" w:eastAsia="黑体" w:cs="黑体"/>
          <w:color w:val="auto"/>
          <w:sz w:val="32"/>
          <w:szCs w:val="32"/>
          <w:highlight w:val="none"/>
          <w:shd w:val="clear" w:color="auto" w:fill="FFFFFF"/>
          <w:lang w:val="en-US" w:eastAsia="zh-CN"/>
        </w:rPr>
      </w:pPr>
      <w:r>
        <w:rPr>
          <w:rFonts w:hint="eastAsia" w:ascii="宋体"/>
          <w:b/>
          <w:color w:val="auto"/>
          <w:sz w:val="24"/>
          <w:szCs w:val="24"/>
          <w:highlight w:val="none"/>
          <w:lang w:val="en-US" w:eastAsia="zh-CN"/>
        </w:rPr>
        <w:t>1-3.业绩证明材料</w:t>
      </w:r>
    </w:p>
    <w:p w14:paraId="07314D57">
      <w:pPr>
        <w:pStyle w:val="6"/>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p>
    <w:p w14:paraId="700F1C5F">
      <w:pPr>
        <w:pStyle w:val="6"/>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14:paraId="329B18DE">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40" w:lineRule="exact"/>
        <w:ind w:firstLine="480" w:firstLineChars="200"/>
        <w:jc w:val="both"/>
        <w:textAlignment w:val="auto"/>
        <w:rPr>
          <w:rFonts w:hint="eastAsia" w:ascii="宋体" w:hAnsi="宋体" w:eastAsia="宋体" w:cs="宋体"/>
          <w:bCs/>
          <w:color w:val="auto"/>
          <w:sz w:val="24"/>
          <w:szCs w:val="24"/>
          <w:highlight w:val="none"/>
          <w:u w:val="none"/>
          <w:lang w:val="en-US" w:eastAsia="zh-CN"/>
        </w:rPr>
      </w:pPr>
      <w:r>
        <w:rPr>
          <w:rFonts w:hint="eastAsia" w:ascii="宋体" w:hAnsi="宋体" w:eastAsia="宋体" w:cs="宋体"/>
          <w:bCs/>
          <w:color w:val="auto"/>
          <w:sz w:val="24"/>
          <w:szCs w:val="24"/>
          <w:highlight w:val="none"/>
          <w:u w:val="none"/>
          <w:lang w:val="en-US" w:eastAsia="zh-CN"/>
        </w:rPr>
        <w:t>比选申请人自本比选项目发布比选公告之日的近</w:t>
      </w:r>
      <w:r>
        <w:rPr>
          <w:rFonts w:hint="eastAsia" w:cs="宋体"/>
          <w:bCs/>
          <w:color w:val="auto"/>
          <w:sz w:val="24"/>
          <w:szCs w:val="24"/>
          <w:highlight w:val="none"/>
          <w:u w:val="none"/>
          <w:lang w:val="en-US" w:eastAsia="zh-CN"/>
        </w:rPr>
        <w:t>3</w:t>
      </w:r>
      <w:r>
        <w:rPr>
          <w:rFonts w:hint="eastAsia" w:ascii="宋体" w:hAnsi="宋体" w:eastAsia="宋体" w:cs="宋体"/>
          <w:bCs/>
          <w:color w:val="auto"/>
          <w:sz w:val="24"/>
          <w:szCs w:val="24"/>
          <w:highlight w:val="none"/>
          <w:u w:val="none"/>
          <w:lang w:val="en-US" w:eastAsia="zh-CN"/>
        </w:rPr>
        <w:t>年内（202</w:t>
      </w:r>
      <w:r>
        <w:rPr>
          <w:rFonts w:hint="eastAsia" w:cs="宋体"/>
          <w:bCs/>
          <w:color w:val="auto"/>
          <w:sz w:val="24"/>
          <w:szCs w:val="24"/>
          <w:highlight w:val="none"/>
          <w:u w:val="none"/>
          <w:lang w:val="en-US" w:eastAsia="zh-CN"/>
        </w:rPr>
        <w:t>1</w:t>
      </w:r>
      <w:r>
        <w:rPr>
          <w:rFonts w:hint="eastAsia" w:ascii="宋体" w:hAnsi="宋体" w:eastAsia="宋体" w:cs="宋体"/>
          <w:bCs/>
          <w:color w:val="auto"/>
          <w:sz w:val="24"/>
          <w:szCs w:val="24"/>
          <w:highlight w:val="none"/>
          <w:u w:val="none"/>
          <w:lang w:val="en-US" w:eastAsia="zh-CN"/>
        </w:rPr>
        <w:t>年10月至今</w:t>
      </w:r>
      <w:r>
        <w:rPr>
          <w:rFonts w:hint="eastAsia" w:cs="宋体"/>
          <w:bCs/>
          <w:color w:val="auto"/>
          <w:sz w:val="24"/>
          <w:szCs w:val="24"/>
          <w:highlight w:val="none"/>
          <w:u w:val="none"/>
          <w:lang w:val="en-US" w:eastAsia="zh-CN"/>
        </w:rPr>
        <w:t>）</w:t>
      </w:r>
      <w:r>
        <w:rPr>
          <w:rFonts w:hint="eastAsia" w:ascii="宋体" w:hAnsi="宋体" w:eastAsia="宋体" w:cs="宋体"/>
          <w:bCs/>
          <w:color w:val="auto"/>
          <w:sz w:val="24"/>
          <w:szCs w:val="24"/>
          <w:highlight w:val="none"/>
          <w:u w:val="none"/>
          <w:lang w:val="en-US" w:eastAsia="zh-CN"/>
        </w:rPr>
        <w:t>具备至少1项类似业绩。</w:t>
      </w:r>
    </w:p>
    <w:p w14:paraId="19B4B2C6">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eastAsia" w:ascii="宋体" w:hAnsi="宋体" w:eastAsia="宋体" w:cs="宋体"/>
          <w:bCs/>
          <w:color w:val="auto"/>
          <w:sz w:val="24"/>
          <w:szCs w:val="24"/>
          <w:highlight w:val="none"/>
          <w:u w:val="none"/>
          <w:lang w:val="en-US" w:eastAsia="zh-CN"/>
        </w:rPr>
      </w:pPr>
    </w:p>
    <w:p w14:paraId="425C8153">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cs="宋体"/>
          <w:b/>
          <w:bCs/>
          <w:color w:val="auto"/>
          <w:sz w:val="24"/>
          <w:szCs w:val="24"/>
          <w:highlight w:val="none"/>
          <w:u w:val="none"/>
          <w:lang w:val="en-US" w:eastAsia="zh-CN"/>
        </w:rPr>
      </w:pPr>
    </w:p>
    <w:p w14:paraId="4B9A787F">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14:paraId="3442719C">
      <w:pPr>
        <w:pStyle w:val="6"/>
        <w:shd w:val="clear" w:color="auto" w:fill="FFFFFF"/>
        <w:spacing w:before="0" w:beforeAutospacing="0" w:after="0" w:afterAutospacing="0" w:line="560" w:lineRule="atLeast"/>
        <w:ind w:right="474"/>
        <w:jc w:val="right"/>
        <w:rPr>
          <w:color w:val="auto"/>
          <w:highlight w:val="none"/>
          <w:shd w:val="clear" w:color="auto" w:fill="FFFFFF"/>
        </w:rPr>
      </w:pPr>
    </w:p>
    <w:p w14:paraId="500FFE83">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092A0D3F">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double"/>
          <w:lang w:val="en-US"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r>
        <w:rPr>
          <w:rFonts w:hint="eastAsia" w:cs="宋体"/>
          <w:b/>
          <w:bCs/>
          <w:color w:val="auto"/>
          <w:sz w:val="21"/>
          <w:szCs w:val="21"/>
          <w:highlight w:val="none"/>
          <w:u w:val="none"/>
          <w:lang w:val="en-US" w:eastAsia="zh-CN"/>
        </w:rPr>
        <w:t>1.</w:t>
      </w:r>
      <w:r>
        <w:rPr>
          <w:rFonts w:hint="eastAsia" w:ascii="宋体" w:hAnsi="宋体" w:eastAsia="宋体" w:cs="宋体"/>
          <w:b/>
          <w:bCs/>
          <w:color w:val="auto"/>
          <w:sz w:val="21"/>
          <w:szCs w:val="21"/>
          <w:highlight w:val="none"/>
          <w:u w:val="double"/>
          <w:lang w:val="en-US" w:eastAsia="zh-CN"/>
        </w:rPr>
        <w:t>须提供类似业绩合同复印件、合同款正式发票复印件，业绩时间以合签订之日为准；业绩证明材料须加盖单位公章</w:t>
      </w:r>
      <w:r>
        <w:rPr>
          <w:rFonts w:hint="eastAsia" w:ascii="宋体" w:hAnsi="宋体" w:eastAsia="宋体" w:cs="宋体"/>
          <w:b/>
          <w:bCs/>
          <w:color w:val="auto"/>
          <w:sz w:val="21"/>
          <w:szCs w:val="21"/>
          <w:highlight w:val="none"/>
          <w:u w:val="none"/>
          <w:lang w:val="en-US" w:eastAsia="zh-CN"/>
        </w:rPr>
        <w:t>。</w:t>
      </w:r>
    </w:p>
    <w:p w14:paraId="489FA158">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21D53778">
      <w:pPr>
        <w:rPr>
          <w:color w:val="auto"/>
          <w:sz w:val="24"/>
          <w:szCs w:val="24"/>
          <w:highlight w:val="none"/>
          <w:u w:val="none"/>
        </w:rPr>
      </w:pPr>
    </w:p>
    <w:p w14:paraId="24E282FB">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2329"/>
        <w:gridCol w:w="5997"/>
      </w:tblGrid>
      <w:tr w14:paraId="29B4A35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color w:val="auto"/>
                <w:kern w:val="0"/>
                <w:sz w:val="24"/>
                <w:szCs w:val="24"/>
                <w:highlight w:val="none"/>
                <w:lang w:val="en-US" w:eastAsia="zh-CN" w:bidi="ar-SA"/>
              </w:rPr>
            </w:pPr>
          </w:p>
        </w:tc>
      </w:tr>
      <w:tr w14:paraId="50A93BD1">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color w:val="auto"/>
                <w:kern w:val="0"/>
                <w:sz w:val="24"/>
                <w:szCs w:val="24"/>
                <w:highlight w:val="none"/>
                <w:lang w:val="en-US" w:eastAsia="zh-CN" w:bidi="ar-SA"/>
              </w:rPr>
            </w:pPr>
          </w:p>
        </w:tc>
      </w:tr>
      <w:tr w14:paraId="4305C404">
        <w:tblPrEx>
          <w:tblCellMar>
            <w:top w:w="0" w:type="dxa"/>
            <w:left w:w="0" w:type="dxa"/>
            <w:bottom w:w="0" w:type="dxa"/>
            <w:right w:w="0" w:type="dxa"/>
          </w:tblCellMar>
        </w:tblPrEx>
        <w:trPr>
          <w:trHeight w:val="1031" w:hRule="atLeast"/>
          <w:jc w:val="center"/>
        </w:trPr>
        <w:tc>
          <w:tcPr>
            <w:tcW w:w="2329" w:type="dxa"/>
            <w:vMerge w:val="restart"/>
            <w:tcBorders>
              <w:top w:val="single" w:color="auto" w:sz="8" w:space="0"/>
              <w:left w:val="single" w:color="auto" w:sz="8" w:space="0"/>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1AE25029">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kern w:val="0"/>
                <w:sz w:val="24"/>
                <w:szCs w:val="24"/>
                <w:highlight w:val="none"/>
                <w:lang w:val="en-US" w:eastAsia="zh-CN" w:bidi="ar-SA"/>
              </w:rPr>
            </w:pPr>
            <w:r>
              <w:rPr>
                <w:rFonts w:hint="eastAsia"/>
                <w:color w:val="auto"/>
                <w:highlight w:val="none"/>
                <w:lang w:eastAsia="zh-CN"/>
              </w:rPr>
              <w:t>电价优惠：电费售价按国家电网标准电价优惠</w:t>
            </w:r>
            <w:r>
              <w:rPr>
                <w:rFonts w:hint="eastAsia"/>
                <w:color w:val="auto"/>
                <w:highlight w:val="none"/>
                <w:u w:val="single"/>
                <w:lang w:val="en-US" w:eastAsia="zh-CN"/>
              </w:rPr>
              <w:t xml:space="preserve">      </w:t>
            </w:r>
            <w:r>
              <w:rPr>
                <w:rFonts w:hint="eastAsia"/>
                <w:color w:val="auto"/>
                <w:highlight w:val="none"/>
                <w:u w:val="none"/>
                <w:lang w:eastAsia="zh-CN"/>
              </w:rPr>
              <w:t>%</w:t>
            </w:r>
            <w:r>
              <w:rPr>
                <w:rFonts w:hint="eastAsia"/>
                <w:color w:val="auto"/>
                <w:highlight w:val="none"/>
                <w:lang w:eastAsia="zh-CN"/>
              </w:rPr>
              <w:t>。</w:t>
            </w:r>
          </w:p>
        </w:tc>
      </w:tr>
      <w:tr w14:paraId="7ACB6CA0">
        <w:tblPrEx>
          <w:tblCellMar>
            <w:top w:w="0" w:type="dxa"/>
            <w:left w:w="0" w:type="dxa"/>
            <w:bottom w:w="0" w:type="dxa"/>
            <w:right w:w="0" w:type="dxa"/>
          </w:tblCellMar>
        </w:tblPrEx>
        <w:trPr>
          <w:trHeight w:val="1361" w:hRule="atLeast"/>
          <w:jc w:val="center"/>
        </w:trPr>
        <w:tc>
          <w:tcPr>
            <w:tcW w:w="2329" w:type="dxa"/>
            <w:vMerge w:val="continue"/>
            <w:tcBorders>
              <w:left w:val="single" w:color="auto" w:sz="8" w:space="0"/>
              <w:bottom w:val="nil"/>
              <w:right w:val="single" w:color="auto" w:sz="8" w:space="0"/>
            </w:tcBorders>
            <w:vAlign w:val="center"/>
          </w:tcPr>
          <w:p w14:paraId="139ABD08">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p>
        </w:tc>
        <w:tc>
          <w:tcPr>
            <w:tcW w:w="5997" w:type="dxa"/>
            <w:tcBorders>
              <w:top w:val="single" w:color="auto" w:sz="8" w:space="0"/>
              <w:left w:val="single" w:color="auto" w:sz="8" w:space="0"/>
              <w:bottom w:val="nil"/>
              <w:right w:val="single" w:color="auto" w:sz="8" w:space="0"/>
            </w:tcBorders>
            <w:vAlign w:val="center"/>
          </w:tcPr>
          <w:p w14:paraId="4CB1029E">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color w:val="auto"/>
                <w:highlight w:val="none"/>
                <w:lang w:eastAsia="zh-CN"/>
              </w:rPr>
            </w:pPr>
            <w:r>
              <w:rPr>
                <w:rFonts w:hint="eastAsia"/>
                <w:color w:val="auto"/>
                <w:highlight w:val="none"/>
                <w:lang w:eastAsia="zh-CN"/>
              </w:rPr>
              <w:t>租金费用：停车场车位租金不低于</w:t>
            </w:r>
            <w:r>
              <w:rPr>
                <w:rFonts w:hint="eastAsia"/>
                <w:color w:val="auto"/>
                <w:highlight w:val="none"/>
                <w:u w:val="single"/>
                <w:lang w:val="en-US" w:eastAsia="zh-CN"/>
              </w:rPr>
              <w:t xml:space="preserve">     </w:t>
            </w:r>
            <w:r>
              <w:rPr>
                <w:rFonts w:hint="eastAsia"/>
                <w:color w:val="auto"/>
                <w:highlight w:val="none"/>
                <w:lang w:eastAsia="zh-CN"/>
              </w:rPr>
              <w:t>元/个/月，休息室、工具间不低于</w:t>
            </w:r>
            <w:r>
              <w:rPr>
                <w:rFonts w:hint="eastAsia"/>
                <w:color w:val="auto"/>
                <w:highlight w:val="none"/>
                <w:u w:val="single"/>
                <w:lang w:val="en-US" w:eastAsia="zh-CN"/>
              </w:rPr>
              <w:t xml:space="preserve">     </w:t>
            </w:r>
            <w:r>
              <w:rPr>
                <w:rFonts w:hint="eastAsia"/>
                <w:color w:val="auto"/>
                <w:highlight w:val="none"/>
                <w:lang w:eastAsia="zh-CN"/>
              </w:rPr>
              <w:t>元/㎡/月，向比选人支付租金。</w:t>
            </w:r>
          </w:p>
        </w:tc>
      </w:tr>
      <w:tr w14:paraId="74CD48A8">
        <w:tblPrEx>
          <w:tblCellMar>
            <w:top w:w="0" w:type="dxa"/>
            <w:left w:w="0" w:type="dxa"/>
            <w:bottom w:w="0" w:type="dxa"/>
            <w:right w:w="0" w:type="dxa"/>
          </w:tblCellMar>
        </w:tblPrEx>
        <w:trPr>
          <w:trHeight w:val="831" w:hRule="atLeast"/>
          <w:jc w:val="center"/>
        </w:trPr>
        <w:tc>
          <w:tcPr>
            <w:tcW w:w="2329"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1281FBDB">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自合同签订之日起20年整</w:t>
            </w:r>
          </w:p>
        </w:tc>
      </w:tr>
      <w:tr w14:paraId="2DE602EF">
        <w:tblPrEx>
          <w:tblCellMar>
            <w:top w:w="0" w:type="dxa"/>
            <w:left w:w="0" w:type="dxa"/>
            <w:bottom w:w="0" w:type="dxa"/>
            <w:right w:w="0" w:type="dxa"/>
          </w:tblCellMar>
        </w:tblPrEx>
        <w:trPr>
          <w:trHeight w:val="1446" w:hRule="atLeast"/>
          <w:jc w:val="center"/>
        </w:trPr>
        <w:tc>
          <w:tcPr>
            <w:tcW w:w="2329" w:type="dxa"/>
            <w:tcBorders>
              <w:top w:val="single" w:color="auto" w:sz="8" w:space="0"/>
              <w:left w:val="single" w:color="auto" w:sz="8" w:space="0"/>
              <w:bottom w:val="nil"/>
              <w:right w:val="single" w:color="auto" w:sz="8" w:space="0"/>
            </w:tcBorders>
            <w:vAlign w:val="center"/>
          </w:tcPr>
          <w:p w14:paraId="28DDC964">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建设周期</w:t>
            </w:r>
          </w:p>
        </w:tc>
        <w:tc>
          <w:tcPr>
            <w:tcW w:w="5997" w:type="dxa"/>
            <w:tcBorders>
              <w:top w:val="single" w:color="auto" w:sz="8" w:space="0"/>
              <w:left w:val="single" w:color="auto" w:sz="8" w:space="0"/>
              <w:bottom w:val="nil"/>
              <w:right w:val="single" w:color="auto" w:sz="8" w:space="0"/>
            </w:tcBorders>
            <w:vAlign w:val="center"/>
          </w:tcPr>
          <w:p w14:paraId="28FE5DAB">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中选人向比选人提供屋面权属证明（包括土地使用权、规划许可证、不动产权证等）之日起的12个月内完成项目基础设施建设。</w:t>
            </w:r>
          </w:p>
        </w:tc>
      </w:tr>
      <w:tr w14:paraId="1021EDA3">
        <w:tblPrEx>
          <w:tblCellMar>
            <w:top w:w="0" w:type="dxa"/>
            <w:left w:w="0" w:type="dxa"/>
            <w:bottom w:w="0" w:type="dxa"/>
            <w:right w:w="0" w:type="dxa"/>
          </w:tblCellMar>
        </w:tblPrEx>
        <w:trPr>
          <w:trHeight w:val="70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31B1A6F0">
            <w:pPr>
              <w:jc w:val="center"/>
              <w:rPr>
                <w:rFonts w:hint="eastAsia" w:ascii="宋体" w:hAnsi="宋体" w:eastAsia="宋体" w:cs="宋体"/>
                <w:color w:val="auto"/>
                <w:kern w:val="0"/>
                <w:sz w:val="24"/>
                <w:szCs w:val="24"/>
                <w:highlight w:val="none"/>
                <w:lang w:val="en-US" w:eastAsia="zh-CN" w:bidi="ar-SA"/>
              </w:rPr>
            </w:pPr>
          </w:p>
        </w:tc>
      </w:tr>
    </w:tbl>
    <w:p w14:paraId="304A3E0F">
      <w:pPr>
        <w:pStyle w:val="6"/>
        <w:spacing w:before="0" w:beforeAutospacing="0" w:after="0" w:afterAutospacing="0" w:line="480" w:lineRule="auto"/>
        <w:jc w:val="both"/>
        <w:rPr>
          <w:color w:val="auto"/>
          <w:highlight w:val="none"/>
        </w:rPr>
      </w:pPr>
    </w:p>
    <w:p w14:paraId="583E0FF6">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6828F29">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33999D23">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0F2F1D9">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360" w:lineRule="exact"/>
        <w:ind w:left="0" w:leftChars="0" w:firstLine="0" w:firstLineChars="0"/>
        <w:textAlignment w:val="auto"/>
        <w:rPr>
          <w:rFonts w:hint="eastAsia" w:ascii="宋体" w:hAnsi="宋体" w:eastAsia="宋体" w:cs="宋体"/>
          <w:b/>
          <w:color w:val="auto"/>
          <w:sz w:val="21"/>
          <w:szCs w:val="21"/>
          <w:highlight w:val="none"/>
        </w:rPr>
      </w:pPr>
    </w:p>
    <w:p w14:paraId="24C97FEF">
      <w:pPr>
        <w:pStyle w:val="2"/>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36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71ED7791">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36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14:paraId="3347C5B4">
      <w:pPr>
        <w:pStyle w:val="3"/>
        <w:keepNext w:val="0"/>
        <w:keepLines w:val="0"/>
        <w:pageBreakBefore w:val="0"/>
        <w:widowControl w:val="0"/>
        <w:numPr>
          <w:ilvl w:val="0"/>
          <w:numId w:val="2"/>
        </w:numPr>
        <w:kinsoku/>
        <w:wordWrap/>
        <w:overflowPunct/>
        <w:topLinePunct w:val="0"/>
        <w:autoSpaceDE/>
        <w:autoSpaceDN/>
        <w:bidi w:val="0"/>
        <w:adjustRightInd w:val="0"/>
        <w:snapToGrid/>
        <w:spacing w:after="0" w:line="360" w:lineRule="exact"/>
        <w:ind w:left="420"/>
        <w:textAlignment w:val="baseline"/>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bookmarkStart w:id="0" w:name="_GoBack"/>
      <w:bookmarkEnd w:id="0"/>
    </w:p>
    <w:sectPr>
      <w:headerReference r:id="rId7" w:type="default"/>
      <w:footerReference r:id="rId8"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CFA76">
    <w:pPr>
      <w:pStyle w:val="4"/>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04F4B3E">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704F4B3E">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D8FFA">
    <w:pPr>
      <w:pStyle w:val="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kMzA4NjA4MDg4MGUyZDllNWQyNDVmOWNlZjAzMjkifQ=="/>
  </w:docVars>
  <w:rsids>
    <w:rsidRoot w:val="00000000"/>
    <w:rsid w:val="0EA30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2024-11-05T02:20:14Z</dcterms:created>
  <dc:creator>Administrator</dc:creator>
  <cp:lastModifiedBy>baby瑞</cp:lastModifiedBy>
  <dcterms:modified xsi:type="dcterms:W3CDTF">2024-11-05T02:20:26Z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C1AE6F0236004491B4FC5CADAB96A53D_12</vt:lpwstr>
  </property>
</Properties>
</file>