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eastAsia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8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2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9:00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2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9:30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牛羊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肉类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NYR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-2024001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</w:t>
      </w:r>
      <w:r>
        <w:rPr>
          <w:rFonts w:hint="eastAsia" w:ascii="新宋体" w:hAnsi="新宋体" w:eastAsia="新宋体" w:cs="新宋体"/>
          <w:snapToGrid w:val="0"/>
          <w:szCs w:val="21"/>
        </w:rPr>
        <w:t>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牛羊肉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NYR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-2024001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67713FE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2024-07-26T00:33:06Z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